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sidR="0051325E">
        <w:rPr>
          <w:bCs/>
          <w:noProof w:val="0"/>
          <w:sz w:val="24"/>
          <w:lang w:val="en-GB"/>
        </w:rPr>
        <w:t xml:space="preserve"> WG</w:t>
      </w:r>
      <w:r w:rsidR="00B551B5">
        <w:rPr>
          <w:bCs/>
          <w:noProof w:val="0"/>
          <w:sz w:val="24"/>
          <w:lang w:val="en-GB"/>
        </w:rPr>
        <w:t>4</w:t>
      </w:r>
      <w:r w:rsidR="009B7B48" w:rsidRPr="00B551B5">
        <w:rPr>
          <w:bCs/>
          <w:noProof w:val="0"/>
          <w:sz w:val="24"/>
          <w:szCs w:val="24"/>
          <w:lang w:val="en-GB"/>
        </w:rPr>
        <w:t xml:space="preserve"> </w:t>
      </w:r>
      <w:r w:rsidR="005320DC" w:rsidRPr="00B551B5">
        <w:rPr>
          <w:noProof w:val="0"/>
          <w:sz w:val="24"/>
          <w:szCs w:val="24"/>
          <w:lang w:val="en-GB"/>
        </w:rPr>
        <w:t>#</w:t>
      </w:r>
      <w:r w:rsidR="007C5C15">
        <w:rPr>
          <w:noProof w:val="0"/>
          <w:sz w:val="24"/>
          <w:szCs w:val="24"/>
          <w:lang w:val="en-GB"/>
        </w:rPr>
        <w:t>8</w:t>
      </w:r>
      <w:r w:rsidR="00877C60">
        <w:rPr>
          <w:noProof w:val="0"/>
          <w:sz w:val="24"/>
          <w:szCs w:val="24"/>
          <w:lang w:val="en-GB"/>
        </w:rPr>
        <w:t>3</w:t>
      </w:r>
      <w:r w:rsidR="00B551B5" w:rsidRPr="00B551B5">
        <w:rPr>
          <w:noProof w:val="0"/>
          <w:sz w:val="24"/>
          <w:szCs w:val="24"/>
          <w:lang w:val="en-GB"/>
        </w:rPr>
        <w:t xml:space="preserve"> </w:t>
      </w:r>
      <w:r w:rsidR="00B551B5">
        <w:rPr>
          <w:noProof w:val="0"/>
          <w:sz w:val="24"/>
          <w:lang w:val="en-GB"/>
        </w:rPr>
        <w:t>Meeting</w:t>
      </w:r>
      <w:r w:rsidRPr="008C1FE3">
        <w:rPr>
          <w:bCs/>
          <w:noProof w:val="0"/>
          <w:sz w:val="24"/>
          <w:lang w:val="en-GB"/>
        </w:rPr>
        <w:tab/>
      </w:r>
      <w:r w:rsidR="002350C8" w:rsidRPr="002350C8">
        <w:rPr>
          <w:bCs/>
          <w:noProof w:val="0"/>
          <w:sz w:val="24"/>
          <w:lang w:val="en-GB" w:eastAsia="ja-JP"/>
        </w:rPr>
        <w:t>R4-170</w:t>
      </w:r>
      <w:r w:rsidR="00EC1BFD">
        <w:rPr>
          <w:bCs/>
          <w:noProof w:val="0"/>
          <w:sz w:val="24"/>
          <w:lang w:val="en-GB" w:eastAsia="ja-JP"/>
        </w:rPr>
        <w:t>6852</w:t>
      </w:r>
    </w:p>
    <w:p w:rsidR="00787640" w:rsidRPr="00461210" w:rsidRDefault="00877C60" w:rsidP="00F7039A">
      <w:pPr>
        <w:pStyle w:val="Header"/>
        <w:tabs>
          <w:tab w:val="right" w:pos="9639"/>
        </w:tabs>
        <w:rPr>
          <w:bCs/>
          <w:noProof w:val="0"/>
          <w:sz w:val="24"/>
          <w:lang w:val="en-GB"/>
        </w:rPr>
      </w:pPr>
      <w:r>
        <w:rPr>
          <w:noProof w:val="0"/>
          <w:sz w:val="24"/>
          <w:lang w:val="en-GB"/>
        </w:rPr>
        <w:t>Hangzhou</w:t>
      </w:r>
      <w:r w:rsidR="00A07F41">
        <w:rPr>
          <w:noProof w:val="0"/>
          <w:sz w:val="24"/>
          <w:lang w:val="en-GB"/>
        </w:rPr>
        <w:t xml:space="preserve">, </w:t>
      </w:r>
      <w:r>
        <w:rPr>
          <w:noProof w:val="0"/>
          <w:sz w:val="24"/>
          <w:lang w:val="en-GB"/>
        </w:rPr>
        <w:t>China</w:t>
      </w:r>
      <w:r w:rsidR="00E176EA">
        <w:rPr>
          <w:noProof w:val="0"/>
          <w:sz w:val="24"/>
          <w:lang w:val="en-GB"/>
        </w:rPr>
        <w:t xml:space="preserve">, </w:t>
      </w:r>
      <w:r>
        <w:rPr>
          <w:bCs/>
          <w:sz w:val="24"/>
          <w:lang w:eastAsia="zh-CN"/>
        </w:rPr>
        <w:t>15</w:t>
      </w:r>
      <w:r w:rsidR="009B7B48">
        <w:rPr>
          <w:bCs/>
          <w:sz w:val="24"/>
          <w:lang w:eastAsia="zh-CN"/>
        </w:rPr>
        <w:t xml:space="preserve"> </w:t>
      </w:r>
      <w:r w:rsidR="008579DF">
        <w:rPr>
          <w:bCs/>
          <w:sz w:val="24"/>
          <w:lang w:eastAsia="zh-CN"/>
        </w:rPr>
        <w:t>-</w:t>
      </w:r>
      <w:r w:rsidR="009B7B48">
        <w:rPr>
          <w:bCs/>
          <w:sz w:val="24"/>
          <w:lang w:eastAsia="zh-CN"/>
        </w:rPr>
        <w:t xml:space="preserve"> </w:t>
      </w:r>
      <w:r>
        <w:rPr>
          <w:bCs/>
          <w:sz w:val="24"/>
          <w:lang w:eastAsia="zh-CN"/>
        </w:rPr>
        <w:t>19</w:t>
      </w:r>
      <w:r w:rsidR="00D1404E">
        <w:rPr>
          <w:bCs/>
          <w:sz w:val="24"/>
          <w:lang w:eastAsia="zh-CN"/>
        </w:rPr>
        <w:t xml:space="preserve"> </w:t>
      </w:r>
      <w:r>
        <w:rPr>
          <w:bCs/>
          <w:sz w:val="24"/>
          <w:lang w:eastAsia="zh-CN"/>
        </w:rPr>
        <w:t>May</w:t>
      </w:r>
      <w:r w:rsidR="009B7B48">
        <w:rPr>
          <w:bCs/>
          <w:sz w:val="24"/>
          <w:lang w:eastAsia="zh-CN"/>
        </w:rPr>
        <w:t xml:space="preserve"> </w:t>
      </w:r>
      <w:r w:rsidR="00D1404E" w:rsidRPr="00235B77">
        <w:rPr>
          <w:bCs/>
          <w:sz w:val="24"/>
          <w:lang w:eastAsia="zh-CN"/>
        </w:rPr>
        <w:t>201</w:t>
      </w:r>
      <w:r w:rsidR="00F77362">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F63015">
        <w:rPr>
          <w:rFonts w:ascii="Arial" w:hAnsi="Arial" w:cs="Arial"/>
          <w:b/>
          <w:bCs/>
          <w:sz w:val="24"/>
        </w:rPr>
        <w:t>D</w:t>
      </w:r>
      <w:r w:rsidR="00856D11">
        <w:rPr>
          <w:rFonts w:ascii="Arial" w:hAnsi="Arial" w:cs="Arial"/>
          <w:b/>
          <w:bCs/>
          <w:sz w:val="24"/>
        </w:rPr>
        <w:t xml:space="preserve">iscussion </w:t>
      </w:r>
      <w:r w:rsidR="00F63015">
        <w:rPr>
          <w:rFonts w:ascii="Arial" w:hAnsi="Arial" w:cs="Arial"/>
          <w:b/>
          <w:bCs/>
          <w:sz w:val="24"/>
        </w:rPr>
        <w:t>UE bandwidth capability</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605FB">
        <w:rPr>
          <w:rFonts w:cs="Arial"/>
          <w:b/>
          <w:bCs/>
          <w:sz w:val="24"/>
        </w:rPr>
        <w:t>3.2.1</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8A18F7">
        <w:rPr>
          <w:rFonts w:ascii="Arial" w:hAnsi="Arial" w:cs="Arial"/>
          <w:b/>
          <w:bCs/>
          <w:sz w:val="24"/>
        </w:rPr>
        <w:t>Discussion</w:t>
      </w:r>
    </w:p>
    <w:p w:rsidR="0034111C" w:rsidRPr="007B7496" w:rsidRDefault="0034111C">
      <w:pPr>
        <w:pStyle w:val="Heading1"/>
      </w:pPr>
      <w:r w:rsidRPr="007B7496">
        <w:t>1</w:t>
      </w:r>
      <w:r w:rsidRPr="007B7496">
        <w:tab/>
      </w:r>
      <w:r w:rsidR="00EE7FA7" w:rsidRPr="007B7496">
        <w:t>Introduction</w:t>
      </w:r>
    </w:p>
    <w:p w:rsidR="0024658D" w:rsidRDefault="0024658D" w:rsidP="00B551B5">
      <w:pPr>
        <w:pStyle w:val="Doc-text2"/>
        <w:ind w:left="0" w:firstLine="0"/>
        <w:rPr>
          <w:rFonts w:ascii="Times New Roman" w:hAnsi="Times New Roman"/>
          <w:sz w:val="20"/>
          <w:lang w:val="en-US"/>
        </w:rPr>
      </w:pPr>
      <w:bookmarkStart w:id="5" w:name="OLE_LINK13"/>
      <w:bookmarkStart w:id="6" w:name="OLE_LINK14"/>
    </w:p>
    <w:p w:rsidR="008605FB" w:rsidRDefault="008605FB" w:rsidP="007116C6">
      <w:r>
        <w:t xml:space="preserve">In RAN4#83 meeting, several agreements on </w:t>
      </w:r>
      <w:r w:rsidR="00D20BC7">
        <w:t xml:space="preserve">the </w:t>
      </w:r>
      <w:r w:rsidR="00815615">
        <w:t xml:space="preserve">maximum channel bandwidth and forward compatibility </w:t>
      </w:r>
      <w:r w:rsidR="00855561">
        <w:t>of the channel bandwidth are</w:t>
      </w:r>
      <w:r w:rsidR="00815615">
        <w:t xml:space="preserve"> agreed in </w:t>
      </w:r>
      <w:r>
        <w:t>[</w:t>
      </w:r>
      <w:r w:rsidR="00815615">
        <w:t>1</w:t>
      </w:r>
      <w:r>
        <w:t>].</w:t>
      </w:r>
      <w:r w:rsidR="0068300C">
        <w:t xml:space="preserve"> However,</w:t>
      </w:r>
      <w:r w:rsidR="00815615">
        <w:t xml:space="preserve"> there are still a few</w:t>
      </w:r>
      <w:r w:rsidR="0068300C">
        <w:t xml:space="preserve"> </w:t>
      </w:r>
      <w:r w:rsidR="00F42FE4">
        <w:t xml:space="preserve">open </w:t>
      </w:r>
      <w:r w:rsidR="0068300C">
        <w:t xml:space="preserve">issues </w:t>
      </w:r>
      <w:r w:rsidR="00F42FE4">
        <w:t>in the following.</w:t>
      </w:r>
    </w:p>
    <w:p w:rsidR="0068300C" w:rsidRDefault="00856D11" w:rsidP="0068300C">
      <w:pPr>
        <w:pStyle w:val="ListParagraph"/>
        <w:numPr>
          <w:ilvl w:val="0"/>
          <w:numId w:val="32"/>
        </w:numPr>
      </w:pPr>
      <w:r>
        <w:t xml:space="preserve">Whether we </w:t>
      </w:r>
      <w:r w:rsidR="0068300C">
        <w:t>allow to add new UE channel bandwidth t</w:t>
      </w:r>
      <w:r w:rsidR="0068300C" w:rsidRPr="0068300C">
        <w:t>hat are not larger than previously defined maximum in the band</w:t>
      </w:r>
    </w:p>
    <w:p w:rsidR="0068300C" w:rsidRDefault="0068300C" w:rsidP="0068300C">
      <w:pPr>
        <w:pStyle w:val="ListParagraph"/>
        <w:numPr>
          <w:ilvl w:val="0"/>
          <w:numId w:val="32"/>
        </w:numPr>
      </w:pPr>
      <w:r>
        <w:t xml:space="preserve">How </w:t>
      </w:r>
      <w:r w:rsidRPr="0068300C">
        <w:t>UE should indicate to gNB its bandwidth capability</w:t>
      </w:r>
    </w:p>
    <w:p w:rsidR="0068300C" w:rsidRDefault="0068300C" w:rsidP="0068300C">
      <w:pPr>
        <w:pStyle w:val="ListParagraph"/>
        <w:numPr>
          <w:ilvl w:val="0"/>
          <w:numId w:val="32"/>
        </w:numPr>
      </w:pPr>
      <w:r>
        <w:t xml:space="preserve">Which </w:t>
      </w:r>
      <w:r w:rsidRPr="0068300C">
        <w:t>aggregated channel bandw</w:t>
      </w:r>
      <w:r>
        <w:t>idth combinations are allowed</w:t>
      </w:r>
    </w:p>
    <w:p w:rsidR="0068300C" w:rsidRDefault="00856D11" w:rsidP="0068300C">
      <w:pPr>
        <w:pStyle w:val="ListParagraph"/>
        <w:numPr>
          <w:ilvl w:val="0"/>
          <w:numId w:val="32"/>
        </w:numPr>
      </w:pPr>
      <w:r>
        <w:t>What the impact to BS complexity is</w:t>
      </w:r>
    </w:p>
    <w:p w:rsidR="00855561" w:rsidRDefault="007116C6" w:rsidP="00855561">
      <w:r>
        <w:t xml:space="preserve">In this </w:t>
      </w:r>
      <w:r w:rsidR="006A57F7">
        <w:t>paper,</w:t>
      </w:r>
      <w:r>
        <w:t xml:space="preserve"> we </w:t>
      </w:r>
      <w:r w:rsidR="00855561">
        <w:t>discuss the above issues especially with regard to the UE bandwidth capability</w:t>
      </w:r>
      <w:r w:rsidR="00815615">
        <w:t>.</w:t>
      </w:r>
    </w:p>
    <w:p w:rsidR="00855561" w:rsidRPr="00855561" w:rsidRDefault="00855561" w:rsidP="00855561"/>
    <w:bookmarkEnd w:id="5"/>
    <w:bookmarkEnd w:id="6"/>
    <w:p w:rsidR="00423A6A" w:rsidRDefault="00423A6A" w:rsidP="00423A6A">
      <w:pPr>
        <w:pStyle w:val="Heading1"/>
      </w:pPr>
      <w:r>
        <w:t>2</w:t>
      </w:r>
      <w:r>
        <w:tab/>
      </w:r>
      <w:r w:rsidR="002E6D98">
        <w:t>Discussion</w:t>
      </w:r>
    </w:p>
    <w:p w:rsidR="009A280F" w:rsidRDefault="009A280F" w:rsidP="00FD060A">
      <w:pPr>
        <w:pStyle w:val="Doc-text2"/>
        <w:ind w:left="0" w:firstLine="0"/>
      </w:pPr>
    </w:p>
    <w:p w:rsidR="00815615" w:rsidRDefault="00815615" w:rsidP="009F494C">
      <w:r>
        <w:t>The agreement on the maximum channel bandwidth in [1] is agreed in the following during RAN4#83.</w:t>
      </w:r>
    </w:p>
    <w:p w:rsidR="00815615" w:rsidRPr="00815615" w:rsidRDefault="00815615" w:rsidP="00815615">
      <w:pPr>
        <w:pStyle w:val="ListParagraph"/>
        <w:numPr>
          <w:ilvl w:val="0"/>
          <w:numId w:val="33"/>
        </w:numPr>
        <w:rPr>
          <w:i/>
        </w:rPr>
      </w:pPr>
      <w:r w:rsidRPr="00815615">
        <w:rPr>
          <w:i/>
        </w:rPr>
        <w:t>For bands below 6GHz</w:t>
      </w:r>
    </w:p>
    <w:p w:rsidR="00815615" w:rsidRPr="00815615" w:rsidRDefault="00815615" w:rsidP="00815615">
      <w:pPr>
        <w:pStyle w:val="ListParagraph"/>
        <w:numPr>
          <w:ilvl w:val="1"/>
          <w:numId w:val="33"/>
        </w:numPr>
        <w:rPr>
          <w:i/>
        </w:rPr>
      </w:pPr>
      <w:r w:rsidRPr="00815615">
        <w:rPr>
          <w:i/>
        </w:rPr>
        <w:t>100MHz maximum CHBW</w:t>
      </w:r>
    </w:p>
    <w:p w:rsidR="00815615" w:rsidRPr="00815615" w:rsidRDefault="00815615" w:rsidP="00815615">
      <w:pPr>
        <w:pStyle w:val="ListParagraph"/>
        <w:numPr>
          <w:ilvl w:val="0"/>
          <w:numId w:val="33"/>
        </w:numPr>
        <w:rPr>
          <w:i/>
        </w:rPr>
      </w:pPr>
      <w:r w:rsidRPr="00815615">
        <w:rPr>
          <w:i/>
        </w:rPr>
        <w:t>For bands above 24GHz</w:t>
      </w:r>
    </w:p>
    <w:p w:rsidR="00815615" w:rsidRPr="00815615" w:rsidRDefault="00815615" w:rsidP="00815615">
      <w:pPr>
        <w:pStyle w:val="ListParagraph"/>
        <w:numPr>
          <w:ilvl w:val="1"/>
          <w:numId w:val="33"/>
        </w:numPr>
        <w:rPr>
          <w:i/>
        </w:rPr>
      </w:pPr>
      <w:r w:rsidRPr="00815615">
        <w:rPr>
          <w:i/>
        </w:rPr>
        <w:t>400MHz maximum CHBW</w:t>
      </w:r>
    </w:p>
    <w:p w:rsidR="00815615" w:rsidRPr="00815615" w:rsidRDefault="00815615" w:rsidP="00815615">
      <w:pPr>
        <w:pStyle w:val="ListParagraph"/>
        <w:numPr>
          <w:ilvl w:val="0"/>
          <w:numId w:val="33"/>
        </w:numPr>
        <w:rPr>
          <w:i/>
        </w:rPr>
      </w:pPr>
      <w:r w:rsidRPr="00815615">
        <w:rPr>
          <w:i/>
        </w:rPr>
        <w:t>Different maximum channel bandwidths can defined for different SCS</w:t>
      </w:r>
    </w:p>
    <w:p w:rsidR="00815615" w:rsidRPr="00815615" w:rsidRDefault="00815615" w:rsidP="00815615">
      <w:pPr>
        <w:pStyle w:val="ListParagraph"/>
        <w:numPr>
          <w:ilvl w:val="1"/>
          <w:numId w:val="33"/>
        </w:numPr>
        <w:rPr>
          <w:i/>
        </w:rPr>
      </w:pPr>
      <w:r w:rsidRPr="00815615">
        <w:rPr>
          <w:i/>
        </w:rPr>
        <w:t>Maximum channel bandwidths for certain SCS can be smaller than the ones listed above but not larger</w:t>
      </w:r>
    </w:p>
    <w:p w:rsidR="00815615" w:rsidRPr="00815615" w:rsidRDefault="00815615" w:rsidP="00815615">
      <w:pPr>
        <w:pStyle w:val="ListParagraph"/>
        <w:numPr>
          <w:ilvl w:val="0"/>
          <w:numId w:val="33"/>
        </w:numPr>
        <w:rPr>
          <w:i/>
        </w:rPr>
      </w:pPr>
      <w:r w:rsidRPr="00815615">
        <w:rPr>
          <w:i/>
        </w:rPr>
        <w:t xml:space="preserve">Not all UEs need to support the maximum channel bandwidth but the maximum channel bandwidth specified in UE specs shall not be lower than the maximum channel bandwidth specified in BS specs </w:t>
      </w:r>
    </w:p>
    <w:p w:rsidR="00243D31" w:rsidRDefault="001674CB" w:rsidP="00176309">
      <w:r>
        <w:t xml:space="preserve">Furthermore, in </w:t>
      </w:r>
      <w:r w:rsidR="00176309">
        <w:t>RAN4 #82bis meeting, the terminology of UE Maximum Bandwidth is approved in the following [</w:t>
      </w:r>
      <w:r w:rsidR="00815615">
        <w:t>2</w:t>
      </w:r>
      <w:r w:rsidR="00176309">
        <w:t>].</w:t>
      </w:r>
    </w:p>
    <w:p w:rsidR="00243D31" w:rsidRPr="00176309" w:rsidRDefault="00EB7F1C" w:rsidP="00176309">
      <w:pPr>
        <w:ind w:left="284"/>
        <w:rPr>
          <w:i/>
          <w:lang w:val="en-GB"/>
        </w:rPr>
      </w:pPr>
      <w:r w:rsidRPr="00176309">
        <w:rPr>
          <w:i/>
          <w:lang w:val="en-GB"/>
        </w:rPr>
        <w:t>UE Maximum Bandwidth (UMBW): Maximum aggregated bandwidth which a NR UE can transmit and/or receive.</w:t>
      </w:r>
    </w:p>
    <w:p w:rsidR="001C37B5" w:rsidRDefault="00176309" w:rsidP="009F352D">
      <w:pPr>
        <w:rPr>
          <w:lang w:val="en-GB"/>
        </w:rPr>
      </w:pPr>
      <w:r>
        <w:rPr>
          <w:lang w:val="en-GB"/>
        </w:rPr>
        <w:t xml:space="preserve">This terminology </w:t>
      </w:r>
      <w:r w:rsidR="001674CB">
        <w:rPr>
          <w:lang w:val="en-GB"/>
        </w:rPr>
        <w:t xml:space="preserve">on UMBW </w:t>
      </w:r>
      <w:r>
        <w:rPr>
          <w:lang w:val="en-GB"/>
        </w:rPr>
        <w:t>needs further clarification as there are still uncertainties in th</w:t>
      </w:r>
      <w:r w:rsidR="00CC4E0C">
        <w:rPr>
          <w:lang w:val="en-GB"/>
        </w:rPr>
        <w:t>e</w:t>
      </w:r>
      <w:r>
        <w:rPr>
          <w:lang w:val="en-GB"/>
        </w:rPr>
        <w:t xml:space="preserve"> definition</w:t>
      </w:r>
      <w:r w:rsidR="009F352D">
        <w:rPr>
          <w:lang w:val="en-GB"/>
        </w:rPr>
        <w:t>. The definition must be clear enough if this is only about intra-band contiguous, non-contiguous or inter-band. Further, the relationship with UE capability must be clarified.</w:t>
      </w:r>
      <w:r>
        <w:rPr>
          <w:lang w:val="en-GB"/>
        </w:rPr>
        <w:t xml:space="preserve"> </w:t>
      </w:r>
      <w:r w:rsidR="001C37B5">
        <w:rPr>
          <w:lang w:val="en-GB"/>
        </w:rPr>
        <w:t xml:space="preserve">We understand that this </w:t>
      </w:r>
      <w:r w:rsidR="009F352D">
        <w:rPr>
          <w:lang w:val="en-GB"/>
        </w:rPr>
        <w:t xml:space="preserve">terminology </w:t>
      </w:r>
      <w:r w:rsidR="00491F5C">
        <w:rPr>
          <w:lang w:val="en-GB"/>
        </w:rPr>
        <w:t>should be better defined</w:t>
      </w:r>
      <w:r w:rsidR="006E0198">
        <w:rPr>
          <w:lang w:val="en-GB"/>
        </w:rPr>
        <w:t xml:space="preserve"> as </w:t>
      </w:r>
      <w:r w:rsidR="001C37B5">
        <w:rPr>
          <w:lang w:val="en-GB"/>
        </w:rPr>
        <w:t>“</w:t>
      </w:r>
      <w:r w:rsidR="001C37B5" w:rsidRPr="001C37B5">
        <w:rPr>
          <w:b/>
          <w:lang w:val="en-GB"/>
        </w:rPr>
        <w:t>the maximum possible UE RF bandwidth in which a UE transmits and/or receives single or multiple carrier(s) within a supported operating band</w:t>
      </w:r>
      <w:r w:rsidR="001674CB">
        <w:rPr>
          <w:b/>
          <w:lang w:val="en-GB"/>
        </w:rPr>
        <w:t>.</w:t>
      </w:r>
      <w:r w:rsidR="001C37B5">
        <w:rPr>
          <w:lang w:val="en-GB"/>
        </w:rPr>
        <w:t>”</w:t>
      </w:r>
      <w:r w:rsidR="009F352D">
        <w:rPr>
          <w:lang w:val="en-GB"/>
        </w:rPr>
        <w:t xml:space="preserve"> </w:t>
      </w:r>
      <w:r w:rsidR="001C37B5">
        <w:rPr>
          <w:lang w:val="en-GB"/>
        </w:rPr>
        <w:t>This c</w:t>
      </w:r>
      <w:r w:rsidR="009F352D">
        <w:rPr>
          <w:lang w:val="en-GB"/>
        </w:rPr>
        <w:t xml:space="preserve">an be independent for Tx and Rx. </w:t>
      </w:r>
      <w:r w:rsidR="009F352D">
        <w:rPr>
          <w:lang w:val="en-GB"/>
        </w:rPr>
        <w:lastRenderedPageBreak/>
        <w:t>T</w:t>
      </w:r>
      <w:r w:rsidR="0045315D">
        <w:rPr>
          <w:lang w:val="en-GB"/>
        </w:rPr>
        <w:t>his may al</w:t>
      </w:r>
      <w:r w:rsidR="009F352D">
        <w:rPr>
          <w:lang w:val="en-GB"/>
        </w:rPr>
        <w:t>so depend on numerology. Regarding the relationship with UE capability, it is not clear enough if UMBW can be simply used as a UE capability parameter, which need further discussion.</w:t>
      </w:r>
    </w:p>
    <w:p w:rsidR="001674CB" w:rsidRPr="001674CB" w:rsidRDefault="001674CB" w:rsidP="009F352D">
      <w:pPr>
        <w:rPr>
          <w:i/>
          <w:lang w:val="en-GB"/>
        </w:rPr>
      </w:pPr>
      <w:r w:rsidRPr="001674CB">
        <w:rPr>
          <w:b/>
          <w:i/>
          <w:lang w:val="en-GB"/>
        </w:rPr>
        <w:t>Observation</w:t>
      </w:r>
      <w:r>
        <w:rPr>
          <w:b/>
          <w:i/>
          <w:lang w:val="en-GB"/>
        </w:rPr>
        <w:t xml:space="preserve"> 1</w:t>
      </w:r>
      <w:r w:rsidRPr="001674CB">
        <w:rPr>
          <w:b/>
          <w:i/>
          <w:lang w:val="en-GB"/>
        </w:rPr>
        <w:t xml:space="preserve">: The terminology, </w:t>
      </w:r>
      <w:r>
        <w:rPr>
          <w:b/>
          <w:i/>
          <w:lang w:val="en-GB"/>
        </w:rPr>
        <w:t>“</w:t>
      </w:r>
      <w:r w:rsidRPr="001674CB">
        <w:rPr>
          <w:b/>
          <w:i/>
          <w:lang w:val="en-GB"/>
        </w:rPr>
        <w:t>UMBW</w:t>
      </w:r>
      <w:r>
        <w:rPr>
          <w:b/>
          <w:i/>
          <w:lang w:val="en-GB"/>
        </w:rPr>
        <w:t>”</w:t>
      </w:r>
      <w:r w:rsidRPr="001674CB">
        <w:rPr>
          <w:b/>
          <w:i/>
          <w:lang w:val="en-GB"/>
        </w:rPr>
        <w:t xml:space="preserve"> is best described as “the maximum possible UE RF bandwidth in which a UE transmits and/or receives single or multiple carrier(s) within a supported operating band.”</w:t>
      </w:r>
    </w:p>
    <w:p w:rsidR="007204EA" w:rsidRDefault="001C37B5" w:rsidP="00D11114">
      <w:pPr>
        <w:rPr>
          <w:lang w:val="en-GB"/>
        </w:rPr>
      </w:pPr>
      <w:r>
        <w:rPr>
          <w:lang w:val="en-GB"/>
        </w:rPr>
        <w:t>In E-UTRA</w:t>
      </w:r>
      <w:r w:rsidR="006E0198">
        <w:rPr>
          <w:lang w:val="en-GB"/>
        </w:rPr>
        <w:t xml:space="preserve">, UE shall support all channel bandwidths per band in </w:t>
      </w:r>
      <w:r w:rsidR="00491F5C">
        <w:rPr>
          <w:lang w:val="en-GB"/>
        </w:rPr>
        <w:t xml:space="preserve">a </w:t>
      </w:r>
      <w:r w:rsidR="001674CB">
        <w:rPr>
          <w:lang w:val="en-GB"/>
        </w:rPr>
        <w:t xml:space="preserve">single carrier operation. The set of channel bandwidth for each band is fixed, i.e., no new channel bandwidth is introduced in a later release. </w:t>
      </w:r>
      <w:r w:rsidR="00D11114">
        <w:rPr>
          <w:lang w:val="en-GB"/>
        </w:rPr>
        <w:t xml:space="preserve">However, this </w:t>
      </w:r>
      <w:r w:rsidR="00005461">
        <w:rPr>
          <w:lang w:val="en-GB"/>
        </w:rPr>
        <w:t xml:space="preserve">is not the case </w:t>
      </w:r>
      <w:r w:rsidR="001674CB">
        <w:rPr>
          <w:lang w:val="en-GB"/>
        </w:rPr>
        <w:t>in the NR</w:t>
      </w:r>
      <w:r w:rsidR="00005461">
        <w:rPr>
          <w:lang w:val="en-GB"/>
        </w:rPr>
        <w:t>. A</w:t>
      </w:r>
      <w:r w:rsidR="00D11114">
        <w:rPr>
          <w:lang w:val="en-GB"/>
        </w:rPr>
        <w:t xml:space="preserve"> new </w:t>
      </w:r>
      <w:r w:rsidR="00005461">
        <w:rPr>
          <w:lang w:val="en-GB"/>
        </w:rPr>
        <w:t>wider</w:t>
      </w:r>
      <w:r w:rsidR="00D11114">
        <w:rPr>
          <w:lang w:val="en-GB"/>
        </w:rPr>
        <w:t xml:space="preserve"> channel bandwidth c</w:t>
      </w:r>
      <w:r w:rsidR="00815615">
        <w:rPr>
          <w:lang w:val="en-GB"/>
        </w:rPr>
        <w:t>an</w:t>
      </w:r>
      <w:r w:rsidR="00D11114">
        <w:rPr>
          <w:lang w:val="en-GB"/>
        </w:rPr>
        <w:t xml:space="preserve"> be added</w:t>
      </w:r>
      <w:r w:rsidR="007E2419">
        <w:rPr>
          <w:lang w:val="en-GB"/>
        </w:rPr>
        <w:t xml:space="preserve"> in a later release</w:t>
      </w:r>
      <w:r w:rsidR="00815615">
        <w:rPr>
          <w:lang w:val="en-GB"/>
        </w:rPr>
        <w:t xml:space="preserve"> [1]</w:t>
      </w:r>
      <w:r w:rsidR="00D11114">
        <w:rPr>
          <w:lang w:val="en-GB"/>
        </w:rPr>
        <w:t xml:space="preserve">, which is </w:t>
      </w:r>
      <w:r w:rsidR="00005461">
        <w:rPr>
          <w:lang w:val="en-GB"/>
        </w:rPr>
        <w:t>not supported by legacy UEs</w:t>
      </w:r>
      <w:r w:rsidR="007E2419">
        <w:rPr>
          <w:lang w:val="en-GB"/>
        </w:rPr>
        <w:t>. Nevertheless</w:t>
      </w:r>
      <w:r w:rsidR="00005461">
        <w:rPr>
          <w:lang w:val="en-GB"/>
        </w:rPr>
        <w:t xml:space="preserve">, </w:t>
      </w:r>
      <w:r w:rsidR="007E2419">
        <w:rPr>
          <w:lang w:val="en-GB"/>
        </w:rPr>
        <w:t xml:space="preserve">the legacy </w:t>
      </w:r>
      <w:r w:rsidR="00005461">
        <w:rPr>
          <w:lang w:val="en-GB"/>
        </w:rPr>
        <w:t>UE</w:t>
      </w:r>
      <w:r w:rsidR="007E2419">
        <w:rPr>
          <w:lang w:val="en-GB"/>
        </w:rPr>
        <w:t>s</w:t>
      </w:r>
      <w:r w:rsidR="00005461">
        <w:rPr>
          <w:lang w:val="en-GB"/>
        </w:rPr>
        <w:t xml:space="preserve"> </w:t>
      </w:r>
      <w:r w:rsidR="007E2419">
        <w:rPr>
          <w:lang w:val="en-GB"/>
        </w:rPr>
        <w:t xml:space="preserve">still </w:t>
      </w:r>
      <w:r w:rsidR="00005461">
        <w:rPr>
          <w:lang w:val="en-GB"/>
        </w:rPr>
        <w:t>can be operated with</w:t>
      </w:r>
      <w:r w:rsidR="00060D42">
        <w:rPr>
          <w:lang w:val="en-GB"/>
        </w:rPr>
        <w:t>in a new channel bandwidth</w:t>
      </w:r>
      <w:r w:rsidR="007E2419">
        <w:rPr>
          <w:lang w:val="en-GB"/>
        </w:rPr>
        <w:t xml:space="preserve"> in the way that t</w:t>
      </w:r>
      <w:r w:rsidR="00005461">
        <w:rPr>
          <w:lang w:val="en-GB"/>
        </w:rPr>
        <w:t>he UE transmission bandwidth</w:t>
      </w:r>
      <w:r w:rsidR="007204EA">
        <w:rPr>
          <w:lang w:val="en-GB"/>
        </w:rPr>
        <w:t xml:space="preserve"> </w:t>
      </w:r>
      <w:r w:rsidR="009F5E87">
        <w:rPr>
          <w:lang w:val="en-GB"/>
        </w:rPr>
        <w:t xml:space="preserve">configuration </w:t>
      </w:r>
      <w:r w:rsidR="007E2419">
        <w:rPr>
          <w:lang w:val="en-GB"/>
        </w:rPr>
        <w:t xml:space="preserve">is </w:t>
      </w:r>
      <w:r w:rsidR="009F5E87">
        <w:rPr>
          <w:lang w:val="en-GB"/>
        </w:rPr>
        <w:t>set</w:t>
      </w:r>
      <w:r w:rsidR="00855561">
        <w:rPr>
          <w:lang w:val="en-GB"/>
        </w:rPr>
        <w:t xml:space="preserve"> </w:t>
      </w:r>
      <w:r w:rsidR="007E2419">
        <w:rPr>
          <w:lang w:val="en-GB"/>
        </w:rPr>
        <w:t xml:space="preserve">within a </w:t>
      </w:r>
      <w:r w:rsidR="009F5E87">
        <w:rPr>
          <w:lang w:val="en-GB"/>
        </w:rPr>
        <w:t xml:space="preserve">new </w:t>
      </w:r>
      <w:r w:rsidR="007E2419">
        <w:rPr>
          <w:lang w:val="en-GB"/>
        </w:rPr>
        <w:t>channel bandwidth.</w:t>
      </w:r>
      <w:r w:rsidR="00855561">
        <w:rPr>
          <w:lang w:val="en-GB"/>
        </w:rPr>
        <w:t xml:space="preserve"> Thus, a UE capability parameter should be introduced in the NR regarding the maximum supported channel bandwidth.</w:t>
      </w:r>
    </w:p>
    <w:p w:rsidR="002F24AD" w:rsidRDefault="002F24AD" w:rsidP="002F24AD">
      <w:pPr>
        <w:rPr>
          <w:b/>
          <w:i/>
        </w:rPr>
      </w:pPr>
      <w:r>
        <w:rPr>
          <w:b/>
          <w:i/>
        </w:rPr>
        <w:t>Observation 2</w:t>
      </w:r>
      <w:r w:rsidRPr="00933D3E">
        <w:rPr>
          <w:b/>
          <w:i/>
        </w:rPr>
        <w:t xml:space="preserve">: </w:t>
      </w:r>
      <w:r>
        <w:rPr>
          <w:b/>
          <w:i/>
        </w:rPr>
        <w:t xml:space="preserve">The maximum channel bandwidth supported by UE </w:t>
      </w:r>
      <w:r w:rsidR="00855561">
        <w:rPr>
          <w:b/>
          <w:i/>
        </w:rPr>
        <w:t>should</w:t>
      </w:r>
      <w:r>
        <w:rPr>
          <w:b/>
          <w:i/>
        </w:rPr>
        <w:t xml:space="preserve"> a UE capability.</w:t>
      </w:r>
    </w:p>
    <w:p w:rsidR="002F24AD" w:rsidRDefault="007E2419" w:rsidP="00D11114">
      <w:pPr>
        <w:rPr>
          <w:lang w:val="en-GB"/>
        </w:rPr>
      </w:pPr>
      <w:r>
        <w:rPr>
          <w:lang w:val="en-GB"/>
        </w:rPr>
        <w:t xml:space="preserve">This </w:t>
      </w:r>
      <w:r w:rsidR="002F24AD">
        <w:rPr>
          <w:lang w:val="en-GB"/>
        </w:rPr>
        <w:t xml:space="preserve">capability </w:t>
      </w:r>
      <w:r>
        <w:rPr>
          <w:lang w:val="en-GB"/>
        </w:rPr>
        <w:t xml:space="preserve">could be defined </w:t>
      </w:r>
      <w:r w:rsidR="002F24AD">
        <w:rPr>
          <w:lang w:val="en-GB"/>
        </w:rPr>
        <w:t xml:space="preserve">per band or preferably a group of bands, because signalling per band would be quite an overhead. Range 1 (sub 6GHz) and Range 2 (above 6 GHz) could be a possible grouping, but it is too early to say that the same maximum channel bandwidth can be supported for </w:t>
      </w:r>
      <w:r w:rsidR="00B2154A">
        <w:rPr>
          <w:lang w:val="en-GB"/>
        </w:rPr>
        <w:t>such a large</w:t>
      </w:r>
      <w:r w:rsidR="002F24AD">
        <w:rPr>
          <w:lang w:val="en-GB"/>
        </w:rPr>
        <w:t xml:space="preserve"> range, therefore, further splitting </w:t>
      </w:r>
      <w:r w:rsidR="00C912D6">
        <w:rPr>
          <w:lang w:val="en-GB"/>
        </w:rPr>
        <w:t xml:space="preserve">is likely </w:t>
      </w:r>
      <w:r w:rsidR="00855561">
        <w:rPr>
          <w:lang w:val="en-GB"/>
        </w:rPr>
        <w:t xml:space="preserve">needed, for example, </w:t>
      </w:r>
      <w:r w:rsidR="00C912D6">
        <w:rPr>
          <w:lang w:val="en-GB"/>
        </w:rPr>
        <w:t xml:space="preserve">28GHz band may have different </w:t>
      </w:r>
      <w:r w:rsidR="00855561">
        <w:rPr>
          <w:lang w:val="en-GB"/>
        </w:rPr>
        <w:t xml:space="preserve">bandwidth </w:t>
      </w:r>
      <w:r w:rsidR="00C912D6">
        <w:rPr>
          <w:lang w:val="en-GB"/>
        </w:rPr>
        <w:t>capability than 39GHz</w:t>
      </w:r>
      <w:r w:rsidR="002F24AD">
        <w:rPr>
          <w:lang w:val="en-GB"/>
        </w:rPr>
        <w:t xml:space="preserve">. It is also noted that the maximum bandwidth </w:t>
      </w:r>
      <w:r w:rsidR="00C912D6">
        <w:rPr>
          <w:lang w:val="en-GB"/>
        </w:rPr>
        <w:t xml:space="preserve">is SCS specific. UE may support 400MHz channel with 120kHz SCS, but it may support up to 200MHz with 60kHz SCS, due to FFT </w:t>
      </w:r>
      <w:r w:rsidR="00B2154A">
        <w:rPr>
          <w:lang w:val="en-GB"/>
        </w:rPr>
        <w:t>limitation</w:t>
      </w:r>
      <w:r w:rsidR="00C912D6">
        <w:rPr>
          <w:lang w:val="en-GB"/>
        </w:rPr>
        <w:t>.</w:t>
      </w:r>
    </w:p>
    <w:p w:rsidR="002F24AD" w:rsidRDefault="002F24AD" w:rsidP="002F24AD">
      <w:pPr>
        <w:rPr>
          <w:b/>
          <w:i/>
        </w:rPr>
      </w:pPr>
      <w:r>
        <w:rPr>
          <w:b/>
          <w:i/>
        </w:rPr>
        <w:t>Observation 3: Th</w:t>
      </w:r>
      <w:r w:rsidR="00C912D6">
        <w:rPr>
          <w:b/>
          <w:i/>
        </w:rPr>
        <w:t xml:space="preserve">e maximum channel bandwidth capability of the UE </w:t>
      </w:r>
      <w:r w:rsidR="00445431">
        <w:rPr>
          <w:b/>
          <w:i/>
        </w:rPr>
        <w:t>should be</w:t>
      </w:r>
      <w:r w:rsidR="00C912D6">
        <w:rPr>
          <w:b/>
          <w:i/>
        </w:rPr>
        <w:t xml:space="preserve"> </w:t>
      </w:r>
      <w:r>
        <w:rPr>
          <w:b/>
          <w:i/>
        </w:rPr>
        <w:t xml:space="preserve">specific to </w:t>
      </w:r>
      <w:r w:rsidR="00C912D6">
        <w:rPr>
          <w:b/>
          <w:i/>
        </w:rPr>
        <w:t>a frequency band group and subcarrier spacing.</w:t>
      </w:r>
    </w:p>
    <w:p w:rsidR="00A34D58" w:rsidRDefault="00C912D6" w:rsidP="00D11114">
      <w:r>
        <w:t>In[1], it was agreed that a new channel bandwidth c</w:t>
      </w:r>
      <w:r w:rsidR="00855561">
        <w:t>an</w:t>
      </w:r>
      <w:r>
        <w:t xml:space="preserve"> be added in a later 3GPP release, but it was FFS if we can </w:t>
      </w:r>
      <w:r w:rsidR="005C0241">
        <w:t>add a new channel bandwidth smaller than the maximum. First, the changing the minimum channel bandwidth of the band shall not be allowed, as this has a dependency on the syn</w:t>
      </w:r>
      <w:r w:rsidR="00C82D8B">
        <w:t>c channel subcarrier spacing</w:t>
      </w:r>
      <w:r w:rsidR="00855561">
        <w:t xml:space="preserve"> and channel raster</w:t>
      </w:r>
      <w:r w:rsidR="00C82D8B">
        <w:t xml:space="preserve">. </w:t>
      </w:r>
    </w:p>
    <w:p w:rsidR="00A34D58" w:rsidRDefault="00A34D58" w:rsidP="00A34D58">
      <w:pPr>
        <w:rPr>
          <w:b/>
          <w:i/>
        </w:rPr>
      </w:pPr>
      <w:r>
        <w:rPr>
          <w:b/>
          <w:i/>
        </w:rPr>
        <w:t xml:space="preserve">Observation </w:t>
      </w:r>
      <w:r w:rsidR="008E1FB0">
        <w:rPr>
          <w:b/>
          <w:i/>
        </w:rPr>
        <w:t>4</w:t>
      </w:r>
      <w:r>
        <w:rPr>
          <w:b/>
          <w:i/>
        </w:rPr>
        <w:t>: Changing the minimum channel bandwidth of the already specified bands sh</w:t>
      </w:r>
      <w:r w:rsidR="001A2BE3">
        <w:rPr>
          <w:b/>
          <w:i/>
        </w:rPr>
        <w:t>all</w:t>
      </w:r>
      <w:r>
        <w:rPr>
          <w:b/>
          <w:i/>
        </w:rPr>
        <w:t xml:space="preserve"> not be allowed in a future release.</w:t>
      </w:r>
    </w:p>
    <w:p w:rsidR="00855561" w:rsidRDefault="00C82D8B" w:rsidP="00855561">
      <w:r>
        <w:t xml:space="preserve">Second, the addition of new bandwidth between min and max is possible from </w:t>
      </w:r>
      <w:r w:rsidR="00B2154A">
        <w:t>gNB</w:t>
      </w:r>
      <w:r>
        <w:t xml:space="preserve"> point of view</w:t>
      </w:r>
      <w:r w:rsidR="00A34D58">
        <w:t>. H</w:t>
      </w:r>
      <w:r>
        <w:t xml:space="preserve">owever, the question is how the legacy UE behaves in </w:t>
      </w:r>
      <w:r w:rsidR="00A34D58">
        <w:t>a</w:t>
      </w:r>
      <w:r>
        <w:t xml:space="preserve"> new channel bandwidth. A Rel-15 UE is only conformed to the specified channel bandwidths </w:t>
      </w:r>
      <w:r w:rsidR="00855561">
        <w:t xml:space="preserve">introduced </w:t>
      </w:r>
      <w:r>
        <w:t>in Rel-15</w:t>
      </w:r>
      <w:r w:rsidR="00855561">
        <w:t xml:space="preserve"> specifications</w:t>
      </w:r>
      <w:r>
        <w:t xml:space="preserve">, thus the behavior is not guaranteed </w:t>
      </w:r>
      <w:r w:rsidR="00F82111">
        <w:t xml:space="preserve">or verified </w:t>
      </w:r>
      <w:r>
        <w:t xml:space="preserve">in a new channel bandwidth even if it is smaller than its UE </w:t>
      </w:r>
      <w:r w:rsidR="00F82111">
        <w:t>capability</w:t>
      </w:r>
      <w:r>
        <w:t>.</w:t>
      </w:r>
      <w:r w:rsidR="00A34D58">
        <w:t xml:space="preserve"> Thus, some operational restriction</w:t>
      </w:r>
      <w:r w:rsidR="00F82111">
        <w:t xml:space="preserve">s may apply </w:t>
      </w:r>
      <w:r w:rsidR="008E351D">
        <w:t xml:space="preserve">such as </w:t>
      </w:r>
      <w:r w:rsidR="00B2154A">
        <w:t xml:space="preserve">only using a </w:t>
      </w:r>
      <w:r w:rsidR="008E351D">
        <w:t xml:space="preserve">UE </w:t>
      </w:r>
      <w:r w:rsidR="00B2154A">
        <w:t xml:space="preserve">supported </w:t>
      </w:r>
      <w:r w:rsidR="006342CB">
        <w:t xml:space="preserve">bandwidth </w:t>
      </w:r>
      <w:r w:rsidR="00B2154A">
        <w:t>configuration</w:t>
      </w:r>
      <w:r w:rsidR="006342CB">
        <w:t xml:space="preserve"> within a </w:t>
      </w:r>
      <w:r w:rsidR="00B2154A">
        <w:t>gNB</w:t>
      </w:r>
      <w:r w:rsidR="00855561">
        <w:t xml:space="preserve"> channel bandwidth</w:t>
      </w:r>
      <w:r w:rsidR="00F82111">
        <w:t>.</w:t>
      </w:r>
      <w:r w:rsidR="00855561">
        <w:t xml:space="preserve"> Other mitigations are not precluded but they can be further discussed in Rel-16. No requirement needs to be introduced in Rel-15.</w:t>
      </w:r>
    </w:p>
    <w:p w:rsidR="005C0241" w:rsidRDefault="005C0241" w:rsidP="005C0241">
      <w:pPr>
        <w:rPr>
          <w:b/>
          <w:i/>
        </w:rPr>
      </w:pPr>
      <w:r>
        <w:rPr>
          <w:b/>
          <w:i/>
        </w:rPr>
        <w:t xml:space="preserve">Observation </w:t>
      </w:r>
      <w:r w:rsidR="008E1FB0">
        <w:rPr>
          <w:b/>
          <w:i/>
        </w:rPr>
        <w:t>5</w:t>
      </w:r>
      <w:r>
        <w:rPr>
          <w:b/>
          <w:i/>
        </w:rPr>
        <w:t xml:space="preserve">: Addition of </w:t>
      </w:r>
      <w:r w:rsidR="00445431">
        <w:rPr>
          <w:b/>
          <w:i/>
        </w:rPr>
        <w:t xml:space="preserve">a </w:t>
      </w:r>
      <w:r>
        <w:rPr>
          <w:b/>
          <w:i/>
        </w:rPr>
        <w:t xml:space="preserve">new channel bandwidth between min and max can be allowed </w:t>
      </w:r>
      <w:r w:rsidR="00F82111">
        <w:rPr>
          <w:b/>
          <w:i/>
        </w:rPr>
        <w:t xml:space="preserve">in a future release </w:t>
      </w:r>
      <w:r>
        <w:rPr>
          <w:b/>
          <w:i/>
        </w:rPr>
        <w:t xml:space="preserve">but </w:t>
      </w:r>
      <w:r w:rsidR="00445431">
        <w:rPr>
          <w:b/>
          <w:i/>
        </w:rPr>
        <w:t>the legacy</w:t>
      </w:r>
      <w:r>
        <w:rPr>
          <w:b/>
          <w:i/>
        </w:rPr>
        <w:t xml:space="preserve"> UE behavior in the new channel bandwidth is not verified and therefore </w:t>
      </w:r>
      <w:r w:rsidR="006342CB">
        <w:rPr>
          <w:b/>
          <w:i/>
        </w:rPr>
        <w:t>certain</w:t>
      </w:r>
      <w:r>
        <w:rPr>
          <w:b/>
          <w:i/>
        </w:rPr>
        <w:t xml:space="preserve"> operational restriction</w:t>
      </w:r>
      <w:r w:rsidR="006342CB">
        <w:rPr>
          <w:b/>
          <w:i/>
        </w:rPr>
        <w:t>s</w:t>
      </w:r>
      <w:r>
        <w:rPr>
          <w:b/>
          <w:i/>
        </w:rPr>
        <w:t xml:space="preserve"> may </w:t>
      </w:r>
      <w:r w:rsidR="006342CB">
        <w:rPr>
          <w:b/>
          <w:i/>
        </w:rPr>
        <w:t>be used</w:t>
      </w:r>
      <w:r>
        <w:rPr>
          <w:b/>
          <w:i/>
        </w:rPr>
        <w:t>.</w:t>
      </w:r>
    </w:p>
    <w:p w:rsidR="00F82111" w:rsidRDefault="00F82111" w:rsidP="00EB7F1C">
      <w:pPr>
        <w:rPr>
          <w:lang w:val="en-GB"/>
        </w:rPr>
      </w:pPr>
    </w:p>
    <w:p w:rsidR="004B473D" w:rsidRDefault="006E0198" w:rsidP="00EB7F1C">
      <w:pPr>
        <w:rPr>
          <w:lang w:val="en-GB"/>
        </w:rPr>
      </w:pPr>
      <w:r>
        <w:rPr>
          <w:lang w:val="en-GB"/>
        </w:rPr>
        <w:t xml:space="preserve">For </w:t>
      </w:r>
      <w:r w:rsidR="00491F5C">
        <w:rPr>
          <w:lang w:val="en-GB"/>
        </w:rPr>
        <w:t xml:space="preserve">the </w:t>
      </w:r>
      <w:r w:rsidR="00AB4DCD">
        <w:rPr>
          <w:lang w:val="en-GB"/>
        </w:rPr>
        <w:t xml:space="preserve">contiguous </w:t>
      </w:r>
      <w:r w:rsidR="00491F5C">
        <w:rPr>
          <w:lang w:val="en-GB"/>
        </w:rPr>
        <w:t xml:space="preserve">wideband </w:t>
      </w:r>
      <w:r w:rsidR="00F82111">
        <w:rPr>
          <w:lang w:val="en-GB"/>
        </w:rPr>
        <w:t>spectrum</w:t>
      </w:r>
      <w:r w:rsidR="00491F5C">
        <w:rPr>
          <w:lang w:val="en-GB"/>
        </w:rPr>
        <w:t xml:space="preserve">, the intra-band contiguous carrier aggregation </w:t>
      </w:r>
      <w:r w:rsidR="00F82111">
        <w:rPr>
          <w:lang w:val="en-GB"/>
        </w:rPr>
        <w:t>can be</w:t>
      </w:r>
      <w:r w:rsidR="00491F5C">
        <w:rPr>
          <w:lang w:val="en-GB"/>
        </w:rPr>
        <w:t xml:space="preserve"> used</w:t>
      </w:r>
      <w:r w:rsidR="00F82111">
        <w:rPr>
          <w:lang w:val="en-GB"/>
        </w:rPr>
        <w:t xml:space="preserve"> in </w:t>
      </w:r>
      <w:r w:rsidR="00F42FE4">
        <w:rPr>
          <w:lang w:val="en-GB"/>
        </w:rPr>
        <w:t>E-UTRA, in which</w:t>
      </w:r>
      <w:r w:rsidR="00F82111">
        <w:rPr>
          <w:lang w:val="en-GB"/>
        </w:rPr>
        <w:t xml:space="preserve"> </w:t>
      </w:r>
      <w:r w:rsidR="00F42FE4">
        <w:rPr>
          <w:lang w:val="en-GB"/>
        </w:rPr>
        <w:t>CA</w:t>
      </w:r>
      <w:r w:rsidR="00445431">
        <w:rPr>
          <w:lang w:val="en-GB"/>
        </w:rPr>
        <w:t xml:space="preserve"> capability </w:t>
      </w:r>
      <w:r w:rsidR="00F42FE4">
        <w:rPr>
          <w:lang w:val="en-GB"/>
        </w:rPr>
        <w:t>i</w:t>
      </w:r>
      <w:r w:rsidR="00445431">
        <w:rPr>
          <w:lang w:val="en-GB"/>
        </w:rPr>
        <w:t xml:space="preserve">s based on </w:t>
      </w:r>
      <w:r w:rsidR="00F42FE4">
        <w:rPr>
          <w:lang w:val="en-GB"/>
        </w:rPr>
        <w:t xml:space="preserve">the </w:t>
      </w:r>
      <w:r>
        <w:rPr>
          <w:lang w:val="en-GB"/>
        </w:rPr>
        <w:t>bandwidth c</w:t>
      </w:r>
      <w:r w:rsidR="0045315D">
        <w:rPr>
          <w:lang w:val="en-GB"/>
        </w:rPr>
        <w:t>ategory</w:t>
      </w:r>
      <w:r>
        <w:rPr>
          <w:lang w:val="en-GB"/>
        </w:rPr>
        <w:t xml:space="preserve"> and bandwidth combinatio</w:t>
      </w:r>
      <w:r w:rsidR="0045315D">
        <w:rPr>
          <w:lang w:val="en-GB"/>
        </w:rPr>
        <w:t>n set</w:t>
      </w:r>
      <w:r>
        <w:rPr>
          <w:lang w:val="en-GB"/>
        </w:rPr>
        <w:t xml:space="preserve">. </w:t>
      </w:r>
      <w:r w:rsidR="00F42FE4">
        <w:rPr>
          <w:lang w:val="en-GB"/>
        </w:rPr>
        <w:t>A similar approach can be further discussed for the NR.</w:t>
      </w:r>
    </w:p>
    <w:p w:rsidR="008E1FB0" w:rsidRDefault="008E1FB0" w:rsidP="008E1FB0">
      <w:pPr>
        <w:rPr>
          <w:b/>
          <w:i/>
        </w:rPr>
      </w:pPr>
      <w:r>
        <w:rPr>
          <w:b/>
          <w:i/>
        </w:rPr>
        <w:t xml:space="preserve">Observation </w:t>
      </w:r>
      <w:r w:rsidR="0031123E">
        <w:rPr>
          <w:b/>
          <w:i/>
        </w:rPr>
        <w:t>6</w:t>
      </w:r>
      <w:r w:rsidRPr="00933D3E">
        <w:rPr>
          <w:b/>
          <w:i/>
        </w:rPr>
        <w:t xml:space="preserve">: </w:t>
      </w:r>
      <w:r>
        <w:rPr>
          <w:b/>
          <w:i/>
        </w:rPr>
        <w:t>UE capability concept o</w:t>
      </w:r>
      <w:r w:rsidR="0031123E">
        <w:rPr>
          <w:b/>
          <w:i/>
        </w:rPr>
        <w:t xml:space="preserve">f </w:t>
      </w:r>
      <w:r w:rsidR="005756EF">
        <w:rPr>
          <w:b/>
          <w:i/>
        </w:rPr>
        <w:t xml:space="preserve">E-UTRA </w:t>
      </w:r>
      <w:r w:rsidR="0031123E">
        <w:rPr>
          <w:b/>
          <w:i/>
        </w:rPr>
        <w:t xml:space="preserve">intra-band CA could be reused for the </w:t>
      </w:r>
      <w:r w:rsidR="003152B5">
        <w:rPr>
          <w:b/>
          <w:i/>
        </w:rPr>
        <w:t xml:space="preserve">NR </w:t>
      </w:r>
      <w:r w:rsidR="0031123E">
        <w:rPr>
          <w:b/>
          <w:i/>
        </w:rPr>
        <w:t>UE bandwidth support wider than the channel bandwidth.</w:t>
      </w:r>
    </w:p>
    <w:p w:rsidR="005756EF" w:rsidRDefault="005756EF" w:rsidP="00EB7F1C">
      <w:pPr>
        <w:rPr>
          <w:lang w:val="en-GB"/>
        </w:rPr>
      </w:pPr>
      <w:r>
        <w:rPr>
          <w:lang w:val="en-GB"/>
        </w:rPr>
        <w:lastRenderedPageBreak/>
        <w:t xml:space="preserve">This can tell us which </w:t>
      </w:r>
      <w:r w:rsidRPr="0068300C">
        <w:t>aggregated channel bandw</w:t>
      </w:r>
      <w:r>
        <w:t xml:space="preserve">idth combinations are allowed; then this can be used to indicate the UE bandwidth capability to gNB </w:t>
      </w:r>
      <w:r w:rsidR="003152B5">
        <w:t>regarding</w:t>
      </w:r>
      <w:r>
        <w:t xml:space="preserve"> </w:t>
      </w:r>
      <w:r w:rsidR="003152B5">
        <w:t xml:space="preserve">operation </w:t>
      </w:r>
      <w:r w:rsidR="00F137D5">
        <w:t>of</w:t>
      </w:r>
      <w:r w:rsidR="003152B5">
        <w:t xml:space="preserve"> </w:t>
      </w:r>
      <w:r>
        <w:t>the aggregated component carriers</w:t>
      </w:r>
      <w:r w:rsidR="00F137D5">
        <w:t xml:space="preserve"> within a gNB wide</w:t>
      </w:r>
      <w:r w:rsidR="008C7073">
        <w:t>band</w:t>
      </w:r>
      <w:r w:rsidR="00F137D5">
        <w:t xml:space="preserve"> channel bandwidth</w:t>
      </w:r>
      <w:r>
        <w:t>.</w:t>
      </w:r>
    </w:p>
    <w:p w:rsidR="005756EF" w:rsidRDefault="008E1FB0" w:rsidP="00EB7F1C">
      <w:pPr>
        <w:rPr>
          <w:lang w:val="en-GB"/>
        </w:rPr>
      </w:pPr>
      <w:r>
        <w:rPr>
          <w:lang w:val="en-GB"/>
        </w:rPr>
        <w:t xml:space="preserve">However, the bandwidth category and bandwidth combination set would need to be defined for each </w:t>
      </w:r>
      <w:r w:rsidR="005756EF">
        <w:rPr>
          <w:lang w:val="en-GB"/>
        </w:rPr>
        <w:t>subcarrier spacing</w:t>
      </w:r>
      <w:r w:rsidR="00011986">
        <w:rPr>
          <w:lang w:val="en-GB"/>
        </w:rPr>
        <w:t xml:space="preserve"> and different UE maximum channel bandwidth</w:t>
      </w:r>
      <w:r w:rsidR="004B6CEF">
        <w:rPr>
          <w:lang w:val="en-GB"/>
        </w:rPr>
        <w:t xml:space="preserve">; thus </w:t>
      </w:r>
      <w:r w:rsidR="00F617C4">
        <w:rPr>
          <w:lang w:val="en-GB"/>
        </w:rPr>
        <w:t xml:space="preserve">possible </w:t>
      </w:r>
      <w:r w:rsidR="00011986">
        <w:rPr>
          <w:lang w:val="en-GB"/>
        </w:rPr>
        <w:t>number of combinations could be too many if the same approach as E-UTRA is used</w:t>
      </w:r>
      <w:bookmarkStart w:id="7" w:name="_GoBack"/>
      <w:bookmarkEnd w:id="7"/>
      <w:r w:rsidR="00011986">
        <w:rPr>
          <w:lang w:val="en-GB"/>
        </w:rPr>
        <w:t>.</w:t>
      </w:r>
    </w:p>
    <w:p w:rsidR="005756EF" w:rsidRDefault="005756EF" w:rsidP="005756EF">
      <w:pPr>
        <w:rPr>
          <w:lang w:val="en-GB"/>
        </w:rPr>
      </w:pPr>
      <w:r>
        <w:rPr>
          <w:lang w:val="en-GB"/>
        </w:rPr>
        <w:t xml:space="preserve">Therefore, it </w:t>
      </w:r>
      <w:r w:rsidR="00F617C4">
        <w:rPr>
          <w:lang w:val="en-GB"/>
        </w:rPr>
        <w:t>is</w:t>
      </w:r>
      <w:r>
        <w:rPr>
          <w:lang w:val="en-GB"/>
        </w:rPr>
        <w:t xml:space="preserve"> necessary to simplify the bandwidth combination</w:t>
      </w:r>
      <w:r w:rsidR="003152B5">
        <w:rPr>
          <w:lang w:val="en-GB"/>
        </w:rPr>
        <w:t xml:space="preserve"> set</w:t>
      </w:r>
      <w:r w:rsidR="00F137D5">
        <w:rPr>
          <w:lang w:val="en-GB"/>
        </w:rPr>
        <w:t>s</w:t>
      </w:r>
      <w:r>
        <w:rPr>
          <w:lang w:val="en-GB"/>
        </w:rPr>
        <w:t xml:space="preserve"> in the NR. A possible </w:t>
      </w:r>
      <w:r w:rsidR="00F137D5">
        <w:rPr>
          <w:lang w:val="en-GB"/>
        </w:rPr>
        <w:t>way forward</w:t>
      </w:r>
      <w:r>
        <w:rPr>
          <w:lang w:val="en-GB"/>
        </w:rPr>
        <w:t xml:space="preserve"> it</w:t>
      </w:r>
      <w:r w:rsidR="00F137D5">
        <w:rPr>
          <w:lang w:val="en-GB"/>
        </w:rPr>
        <w:t xml:space="preserve"> to define some simplified rule</w:t>
      </w:r>
      <w:r w:rsidR="00F617C4">
        <w:rPr>
          <w:lang w:val="en-GB"/>
        </w:rPr>
        <w:t>s</w:t>
      </w:r>
      <w:r w:rsidR="00F137D5">
        <w:rPr>
          <w:lang w:val="en-GB"/>
        </w:rPr>
        <w:t xml:space="preserve">, </w:t>
      </w:r>
      <w:r w:rsidR="004B6CEF">
        <w:rPr>
          <w:lang w:val="en-GB"/>
        </w:rPr>
        <w:t xml:space="preserve">such as introducing </w:t>
      </w:r>
      <w:r w:rsidR="00F617C4">
        <w:rPr>
          <w:lang w:val="en-GB"/>
        </w:rPr>
        <w:t>simplified</w:t>
      </w:r>
      <w:r w:rsidR="004B6CEF">
        <w:rPr>
          <w:lang w:val="en-GB"/>
        </w:rPr>
        <w:t xml:space="preserve"> default s</w:t>
      </w:r>
      <w:r w:rsidR="00F137D5">
        <w:rPr>
          <w:lang w:val="en-GB"/>
        </w:rPr>
        <w:t>et of combinations</w:t>
      </w:r>
      <w:r w:rsidR="004B6CEF">
        <w:rPr>
          <w:lang w:val="en-GB"/>
        </w:rPr>
        <w:t>, which</w:t>
      </w:r>
      <w:r w:rsidR="00F137D5">
        <w:rPr>
          <w:lang w:val="en-GB"/>
        </w:rPr>
        <w:t xml:space="preserve"> are mandatory </w:t>
      </w:r>
      <w:r w:rsidR="004B6CEF">
        <w:rPr>
          <w:lang w:val="en-GB"/>
        </w:rPr>
        <w:t>for UE to support</w:t>
      </w:r>
      <w:r w:rsidR="00F617C4">
        <w:rPr>
          <w:lang w:val="en-GB"/>
        </w:rPr>
        <w:t xml:space="preserve"> without indicating the detail.</w:t>
      </w:r>
      <w:r w:rsidR="00F137D5">
        <w:rPr>
          <w:lang w:val="en-GB"/>
        </w:rPr>
        <w:t xml:space="preserve"> </w:t>
      </w:r>
    </w:p>
    <w:p w:rsidR="008E1FB0" w:rsidRDefault="008E1FB0" w:rsidP="008E1FB0">
      <w:pPr>
        <w:rPr>
          <w:b/>
          <w:i/>
        </w:rPr>
      </w:pPr>
      <w:r>
        <w:rPr>
          <w:b/>
          <w:i/>
        </w:rPr>
        <w:t xml:space="preserve">Observation </w:t>
      </w:r>
      <w:r w:rsidR="005756EF">
        <w:rPr>
          <w:b/>
          <w:i/>
        </w:rPr>
        <w:t>7</w:t>
      </w:r>
      <w:r w:rsidRPr="00933D3E">
        <w:rPr>
          <w:b/>
          <w:i/>
        </w:rPr>
        <w:t xml:space="preserve">: </w:t>
      </w:r>
      <w:r w:rsidR="00F617C4">
        <w:rPr>
          <w:b/>
          <w:i/>
        </w:rPr>
        <w:t>However, it</w:t>
      </w:r>
      <w:r>
        <w:rPr>
          <w:b/>
          <w:i/>
        </w:rPr>
        <w:t xml:space="preserve"> is necessary to </w:t>
      </w:r>
      <w:r w:rsidR="00F137D5">
        <w:rPr>
          <w:b/>
          <w:i/>
        </w:rPr>
        <w:t>simplify the</w:t>
      </w:r>
      <w:r w:rsidR="00F617C4">
        <w:rPr>
          <w:b/>
          <w:i/>
        </w:rPr>
        <w:t xml:space="preserve"> UE CA capability </w:t>
      </w:r>
      <w:r w:rsidR="00011986">
        <w:rPr>
          <w:b/>
          <w:i/>
        </w:rPr>
        <w:t xml:space="preserve">structure </w:t>
      </w:r>
      <w:r w:rsidR="00F617C4">
        <w:rPr>
          <w:b/>
          <w:i/>
        </w:rPr>
        <w:t xml:space="preserve">in the NR to avoid </w:t>
      </w:r>
      <w:r w:rsidR="00011986">
        <w:rPr>
          <w:b/>
          <w:i/>
        </w:rPr>
        <w:t>unrealistic number of</w:t>
      </w:r>
      <w:r w:rsidR="00F617C4">
        <w:rPr>
          <w:b/>
          <w:i/>
        </w:rPr>
        <w:t xml:space="preserve"> combination sets.</w:t>
      </w:r>
    </w:p>
    <w:p w:rsidR="00EB7F1C" w:rsidRPr="00EB7F1C" w:rsidRDefault="00EB7F1C" w:rsidP="00EB7F1C"/>
    <w:p w:rsidR="00FD060A" w:rsidRDefault="00FD060A" w:rsidP="00FD060A">
      <w:pPr>
        <w:pStyle w:val="Heading1"/>
      </w:pPr>
      <w:r>
        <w:t>3</w:t>
      </w:r>
      <w:r>
        <w:tab/>
        <w:t>Conclusion</w:t>
      </w:r>
    </w:p>
    <w:p w:rsidR="008A18F7" w:rsidRPr="008A18F7" w:rsidRDefault="008A18F7" w:rsidP="008A18F7">
      <w:pPr>
        <w:rPr>
          <w:lang w:val="en-GB"/>
        </w:rPr>
      </w:pPr>
      <w:r>
        <w:rPr>
          <w:lang w:val="en-GB"/>
        </w:rPr>
        <w:t xml:space="preserve">In this contribution, we have discussed the UE capability for wideband operation </w:t>
      </w:r>
      <w:r w:rsidR="00EF319A">
        <w:rPr>
          <w:lang w:val="en-GB"/>
        </w:rPr>
        <w:t xml:space="preserve">in </w:t>
      </w:r>
      <w:r>
        <w:rPr>
          <w:lang w:val="en-GB"/>
        </w:rPr>
        <w:t>a single channel bandwidth and a</w:t>
      </w:r>
      <w:r w:rsidR="00EF319A">
        <w:rPr>
          <w:lang w:val="en-GB"/>
        </w:rPr>
        <w:t>n</w:t>
      </w:r>
      <w:r>
        <w:rPr>
          <w:lang w:val="en-GB"/>
        </w:rPr>
        <w:t xml:space="preserve"> aggregated bandwidth.</w:t>
      </w:r>
      <w:r w:rsidR="00EF319A">
        <w:rPr>
          <w:lang w:val="en-GB"/>
        </w:rPr>
        <w:t xml:space="preserve"> The following conclusions have been made. </w:t>
      </w:r>
    </w:p>
    <w:p w:rsidR="008A18F7" w:rsidRPr="001674CB" w:rsidRDefault="008A18F7" w:rsidP="008A18F7">
      <w:pPr>
        <w:rPr>
          <w:i/>
          <w:lang w:val="en-GB"/>
        </w:rPr>
      </w:pPr>
      <w:r w:rsidRPr="001674CB">
        <w:rPr>
          <w:b/>
          <w:i/>
          <w:lang w:val="en-GB"/>
        </w:rPr>
        <w:t>Observation</w:t>
      </w:r>
      <w:r>
        <w:rPr>
          <w:b/>
          <w:i/>
          <w:lang w:val="en-GB"/>
        </w:rPr>
        <w:t xml:space="preserve"> 1</w:t>
      </w:r>
      <w:r w:rsidRPr="001674CB">
        <w:rPr>
          <w:b/>
          <w:i/>
          <w:lang w:val="en-GB"/>
        </w:rPr>
        <w:t xml:space="preserve">: The terminology, </w:t>
      </w:r>
      <w:r>
        <w:rPr>
          <w:b/>
          <w:i/>
          <w:lang w:val="en-GB"/>
        </w:rPr>
        <w:t>“</w:t>
      </w:r>
      <w:r w:rsidRPr="001674CB">
        <w:rPr>
          <w:b/>
          <w:i/>
          <w:lang w:val="en-GB"/>
        </w:rPr>
        <w:t>UMBW</w:t>
      </w:r>
      <w:r>
        <w:rPr>
          <w:b/>
          <w:i/>
          <w:lang w:val="en-GB"/>
        </w:rPr>
        <w:t>”</w:t>
      </w:r>
      <w:r w:rsidRPr="001674CB">
        <w:rPr>
          <w:b/>
          <w:i/>
          <w:lang w:val="en-GB"/>
        </w:rPr>
        <w:t xml:space="preserve"> is best described as “the maximum possible UE RF bandwidth in which a UE transmits and/or receives single or multiple carrier(s) within a supported operating band.”</w:t>
      </w:r>
    </w:p>
    <w:p w:rsidR="008E1FB0" w:rsidRDefault="008E1FB0" w:rsidP="008E1FB0">
      <w:pPr>
        <w:rPr>
          <w:b/>
          <w:i/>
        </w:rPr>
      </w:pPr>
      <w:r>
        <w:rPr>
          <w:b/>
          <w:i/>
        </w:rPr>
        <w:t>Observation 2</w:t>
      </w:r>
      <w:r w:rsidRPr="00933D3E">
        <w:rPr>
          <w:b/>
          <w:i/>
        </w:rPr>
        <w:t xml:space="preserve">: </w:t>
      </w:r>
      <w:r>
        <w:rPr>
          <w:b/>
          <w:i/>
        </w:rPr>
        <w:t>The maximum channel bandwidth supported by UE is a UE capability.</w:t>
      </w:r>
    </w:p>
    <w:p w:rsidR="008E1FB0" w:rsidRDefault="008E1FB0" w:rsidP="008E1FB0">
      <w:pPr>
        <w:rPr>
          <w:b/>
          <w:i/>
        </w:rPr>
      </w:pPr>
      <w:r>
        <w:rPr>
          <w:b/>
          <w:i/>
        </w:rPr>
        <w:t>Observation 3: The maximum channel bandwidth capability of the UE should be specific to a frequency band group and subcarrier spacing.</w:t>
      </w:r>
    </w:p>
    <w:p w:rsidR="008E1FB0" w:rsidRDefault="008E1FB0" w:rsidP="008E1FB0">
      <w:pPr>
        <w:rPr>
          <w:b/>
          <w:i/>
        </w:rPr>
      </w:pPr>
      <w:r>
        <w:rPr>
          <w:b/>
          <w:i/>
        </w:rPr>
        <w:t>Observation 4: Changing the minimum channel bandwidth of the already specified bands shall not be allowed in a future release.</w:t>
      </w:r>
    </w:p>
    <w:p w:rsidR="008E1FB0" w:rsidRDefault="008E1FB0" w:rsidP="008E1FB0">
      <w:pPr>
        <w:rPr>
          <w:b/>
          <w:i/>
        </w:rPr>
      </w:pPr>
      <w:r>
        <w:rPr>
          <w:b/>
          <w:i/>
        </w:rPr>
        <w:t>Observation 5: Addition of a new channel bandwidth between min and max can be allowed in a future release but the legacy UE behavior in the new channel bandwidth is not verified and therefore certain operational restrictions may be used.</w:t>
      </w:r>
    </w:p>
    <w:p w:rsidR="00F137D5" w:rsidRDefault="00F137D5" w:rsidP="00F137D5">
      <w:pPr>
        <w:rPr>
          <w:b/>
          <w:i/>
        </w:rPr>
      </w:pPr>
      <w:r>
        <w:rPr>
          <w:b/>
          <w:i/>
        </w:rPr>
        <w:t>Observation 6</w:t>
      </w:r>
      <w:r w:rsidRPr="00933D3E">
        <w:rPr>
          <w:b/>
          <w:i/>
        </w:rPr>
        <w:t xml:space="preserve">: </w:t>
      </w:r>
      <w:r>
        <w:rPr>
          <w:b/>
          <w:i/>
        </w:rPr>
        <w:t>UE capability concept of E-UTRA intra-band CA could be reused for the NR UE bandwidth support wider than the channel bandwidth.</w:t>
      </w:r>
    </w:p>
    <w:p w:rsidR="00011986" w:rsidRDefault="00011986" w:rsidP="00011986">
      <w:pPr>
        <w:rPr>
          <w:b/>
          <w:i/>
        </w:rPr>
      </w:pPr>
      <w:r>
        <w:rPr>
          <w:b/>
          <w:i/>
        </w:rPr>
        <w:t>Observation 7</w:t>
      </w:r>
      <w:r w:rsidRPr="00933D3E">
        <w:rPr>
          <w:b/>
          <w:i/>
        </w:rPr>
        <w:t xml:space="preserve">: </w:t>
      </w:r>
      <w:r>
        <w:rPr>
          <w:b/>
          <w:i/>
        </w:rPr>
        <w:t>However, it is necessary to simplify the UE CA capability structure in the NR to avoid unrealistic number of combination sets.</w:t>
      </w: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815615" w:rsidRDefault="00815615" w:rsidP="00815615">
      <w:pPr>
        <w:pStyle w:val="ListParagraph"/>
        <w:numPr>
          <w:ilvl w:val="0"/>
          <w:numId w:val="1"/>
        </w:numPr>
        <w:rPr>
          <w:bCs/>
        </w:rPr>
      </w:pPr>
      <w:r w:rsidRPr="008605FB">
        <w:rPr>
          <w:bCs/>
        </w:rPr>
        <w:t>R4-1706321</w:t>
      </w:r>
      <w:r>
        <w:rPr>
          <w:bCs/>
        </w:rPr>
        <w:tab/>
      </w:r>
      <w:r w:rsidRPr="008605FB">
        <w:rPr>
          <w:bCs/>
        </w:rPr>
        <w:t>WF on Channel Bandwidth</w:t>
      </w:r>
      <w:r>
        <w:rPr>
          <w:bCs/>
        </w:rPr>
        <w:t xml:space="preserve">, </w:t>
      </w:r>
      <w:r w:rsidRPr="008605FB">
        <w:rPr>
          <w:bCs/>
        </w:rPr>
        <w:t>Qualcomm Incorporated</w:t>
      </w:r>
    </w:p>
    <w:p w:rsidR="00AA0523" w:rsidRPr="00815615" w:rsidRDefault="00AA0523" w:rsidP="00815615">
      <w:pPr>
        <w:numPr>
          <w:ilvl w:val="0"/>
          <w:numId w:val="1"/>
        </w:numPr>
        <w:spacing w:after="120"/>
        <w:jc w:val="both"/>
        <w:rPr>
          <w:bCs/>
        </w:rPr>
      </w:pPr>
      <w:r w:rsidRPr="00815615">
        <w:rPr>
          <w:bCs/>
        </w:rPr>
        <w:t>R4-1704398</w:t>
      </w:r>
      <w:r w:rsidRPr="00815615">
        <w:rPr>
          <w:bCs/>
        </w:rPr>
        <w:tab/>
        <w:t>WF on Channel bandwidth related terminology, NTT DOCOMO, INC.</w:t>
      </w:r>
    </w:p>
    <w:p w:rsidR="002970F2" w:rsidRDefault="00FA5960" w:rsidP="006C1A6A">
      <w:pPr>
        <w:pStyle w:val="ListParagraph"/>
        <w:numPr>
          <w:ilvl w:val="0"/>
          <w:numId w:val="1"/>
        </w:numPr>
        <w:rPr>
          <w:bCs/>
        </w:rPr>
      </w:pPr>
      <w:r>
        <w:rPr>
          <w:bCs/>
        </w:rPr>
        <w:t>R4-170</w:t>
      </w:r>
      <w:r w:rsidR="00BD3E7B">
        <w:rPr>
          <w:bCs/>
        </w:rPr>
        <w:t>5698</w:t>
      </w:r>
      <w:r>
        <w:rPr>
          <w:bCs/>
        </w:rPr>
        <w:tab/>
      </w:r>
      <w:r w:rsidR="006C1A6A" w:rsidRPr="006C1A6A">
        <w:rPr>
          <w:bCs/>
        </w:rPr>
        <w:t>Wide band operation and channel bandwidth in the NR</w:t>
      </w:r>
      <w:r w:rsidR="00BD3E7B">
        <w:rPr>
          <w:bCs/>
        </w:rPr>
        <w:t>, Nokia, Alcatel-Lucent Shanghai Bell</w:t>
      </w:r>
    </w:p>
    <w:p w:rsidR="008605FB" w:rsidRPr="00855561" w:rsidRDefault="008605FB" w:rsidP="00855561">
      <w:pPr>
        <w:pStyle w:val="ListParagraph"/>
        <w:numPr>
          <w:ilvl w:val="0"/>
          <w:numId w:val="1"/>
        </w:numPr>
        <w:rPr>
          <w:bCs/>
        </w:rPr>
      </w:pPr>
      <w:r w:rsidRPr="008605FB">
        <w:rPr>
          <w:bCs/>
        </w:rPr>
        <w:t>R4-170</w:t>
      </w:r>
      <w:r>
        <w:rPr>
          <w:bCs/>
        </w:rPr>
        <w:t>5699</w:t>
      </w:r>
      <w:r>
        <w:rPr>
          <w:bCs/>
        </w:rPr>
        <w:tab/>
      </w:r>
      <w:r w:rsidR="0068300C" w:rsidRPr="0068300C">
        <w:rPr>
          <w:bCs/>
        </w:rPr>
        <w:t>UE capability for wideband operation support</w:t>
      </w:r>
      <w:r w:rsidR="0068300C">
        <w:rPr>
          <w:bCs/>
        </w:rPr>
        <w:t>, Nokia, Alcatel-Lucent Shanghai Bell</w:t>
      </w:r>
    </w:p>
    <w:sectPr w:rsidR="008605FB" w:rsidRPr="00855561"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F79" w:rsidRDefault="00A10F79">
      <w:r>
        <w:separator/>
      </w:r>
    </w:p>
  </w:endnote>
  <w:endnote w:type="continuationSeparator" w:id="0">
    <w:p w:rsidR="00A10F79" w:rsidRDefault="00A1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ＭＳ 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F79" w:rsidRDefault="00A10F79">
      <w:r>
        <w:separator/>
      </w:r>
    </w:p>
  </w:footnote>
  <w:footnote w:type="continuationSeparator" w:id="0">
    <w:p w:rsidR="00A10F79" w:rsidRDefault="00A10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593FB8"/>
    <w:multiLevelType w:val="hybridMultilevel"/>
    <w:tmpl w:val="68B6A490"/>
    <w:lvl w:ilvl="0" w:tplc="D9ECC796">
      <w:start w:val="1"/>
      <w:numFmt w:val="bullet"/>
      <w:lvlText w:val="•"/>
      <w:lvlJc w:val="left"/>
      <w:pPr>
        <w:tabs>
          <w:tab w:val="num" w:pos="720"/>
        </w:tabs>
        <w:ind w:left="720" w:hanging="360"/>
      </w:pPr>
      <w:rPr>
        <w:rFonts w:ascii="Arial" w:hAnsi="Arial" w:hint="default"/>
      </w:rPr>
    </w:lvl>
    <w:lvl w:ilvl="1" w:tplc="7FA67E30">
      <w:numFmt w:val="bullet"/>
      <w:lvlText w:val="–"/>
      <w:lvlJc w:val="left"/>
      <w:pPr>
        <w:tabs>
          <w:tab w:val="num" w:pos="1440"/>
        </w:tabs>
        <w:ind w:left="1440" w:hanging="360"/>
      </w:pPr>
      <w:rPr>
        <w:rFonts w:ascii="Arial" w:hAnsi="Arial" w:hint="default"/>
      </w:rPr>
    </w:lvl>
    <w:lvl w:ilvl="2" w:tplc="5904525A" w:tentative="1">
      <w:start w:val="1"/>
      <w:numFmt w:val="bullet"/>
      <w:lvlText w:val="•"/>
      <w:lvlJc w:val="left"/>
      <w:pPr>
        <w:tabs>
          <w:tab w:val="num" w:pos="2160"/>
        </w:tabs>
        <w:ind w:left="2160" w:hanging="360"/>
      </w:pPr>
      <w:rPr>
        <w:rFonts w:ascii="Arial" w:hAnsi="Arial" w:hint="default"/>
      </w:rPr>
    </w:lvl>
    <w:lvl w:ilvl="3" w:tplc="D672648A" w:tentative="1">
      <w:start w:val="1"/>
      <w:numFmt w:val="bullet"/>
      <w:lvlText w:val="•"/>
      <w:lvlJc w:val="left"/>
      <w:pPr>
        <w:tabs>
          <w:tab w:val="num" w:pos="2880"/>
        </w:tabs>
        <w:ind w:left="2880" w:hanging="360"/>
      </w:pPr>
      <w:rPr>
        <w:rFonts w:ascii="Arial" w:hAnsi="Arial" w:hint="default"/>
      </w:rPr>
    </w:lvl>
    <w:lvl w:ilvl="4" w:tplc="999443D4" w:tentative="1">
      <w:start w:val="1"/>
      <w:numFmt w:val="bullet"/>
      <w:lvlText w:val="•"/>
      <w:lvlJc w:val="left"/>
      <w:pPr>
        <w:tabs>
          <w:tab w:val="num" w:pos="3600"/>
        </w:tabs>
        <w:ind w:left="3600" w:hanging="360"/>
      </w:pPr>
      <w:rPr>
        <w:rFonts w:ascii="Arial" w:hAnsi="Arial" w:hint="default"/>
      </w:rPr>
    </w:lvl>
    <w:lvl w:ilvl="5" w:tplc="A0BCF8DC" w:tentative="1">
      <w:start w:val="1"/>
      <w:numFmt w:val="bullet"/>
      <w:lvlText w:val="•"/>
      <w:lvlJc w:val="left"/>
      <w:pPr>
        <w:tabs>
          <w:tab w:val="num" w:pos="4320"/>
        </w:tabs>
        <w:ind w:left="4320" w:hanging="360"/>
      </w:pPr>
      <w:rPr>
        <w:rFonts w:ascii="Arial" w:hAnsi="Arial" w:hint="default"/>
      </w:rPr>
    </w:lvl>
    <w:lvl w:ilvl="6" w:tplc="9348B2A8" w:tentative="1">
      <w:start w:val="1"/>
      <w:numFmt w:val="bullet"/>
      <w:lvlText w:val="•"/>
      <w:lvlJc w:val="left"/>
      <w:pPr>
        <w:tabs>
          <w:tab w:val="num" w:pos="5040"/>
        </w:tabs>
        <w:ind w:left="5040" w:hanging="360"/>
      </w:pPr>
      <w:rPr>
        <w:rFonts w:ascii="Arial" w:hAnsi="Arial" w:hint="default"/>
      </w:rPr>
    </w:lvl>
    <w:lvl w:ilvl="7" w:tplc="5DA056EA" w:tentative="1">
      <w:start w:val="1"/>
      <w:numFmt w:val="bullet"/>
      <w:lvlText w:val="•"/>
      <w:lvlJc w:val="left"/>
      <w:pPr>
        <w:tabs>
          <w:tab w:val="num" w:pos="5760"/>
        </w:tabs>
        <w:ind w:left="5760" w:hanging="360"/>
      </w:pPr>
      <w:rPr>
        <w:rFonts w:ascii="Arial" w:hAnsi="Arial" w:hint="default"/>
      </w:rPr>
    </w:lvl>
    <w:lvl w:ilvl="8" w:tplc="E13416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E97624"/>
    <w:multiLevelType w:val="hybridMultilevel"/>
    <w:tmpl w:val="1EE6C9F6"/>
    <w:lvl w:ilvl="0" w:tplc="A850774C">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9725D"/>
    <w:multiLevelType w:val="hybridMultilevel"/>
    <w:tmpl w:val="579E9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B05B1E"/>
    <w:multiLevelType w:val="hybridMultilevel"/>
    <w:tmpl w:val="AF780008"/>
    <w:lvl w:ilvl="0" w:tplc="22C08AC4">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B11738"/>
    <w:multiLevelType w:val="hybridMultilevel"/>
    <w:tmpl w:val="1AA45586"/>
    <w:lvl w:ilvl="0" w:tplc="22C08AC4">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7"/>
  </w:num>
  <w:num w:numId="3">
    <w:abstractNumId w:val="16"/>
  </w:num>
  <w:num w:numId="4">
    <w:abstractNumId w:val="29"/>
  </w:num>
  <w:num w:numId="5">
    <w:abstractNumId w:val="31"/>
  </w:num>
  <w:num w:numId="6">
    <w:abstractNumId w:val="25"/>
  </w:num>
  <w:num w:numId="7">
    <w:abstractNumId w:val="6"/>
  </w:num>
  <w:num w:numId="8">
    <w:abstractNumId w:val="12"/>
  </w:num>
  <w:num w:numId="9">
    <w:abstractNumId w:val="22"/>
  </w:num>
  <w:num w:numId="10">
    <w:abstractNumId w:val="22"/>
    <w:lvlOverride w:ilvl="0">
      <w:startOverride w:val="1"/>
    </w:lvlOverride>
  </w:num>
  <w:num w:numId="11">
    <w:abstractNumId w:val="28"/>
  </w:num>
  <w:num w:numId="12">
    <w:abstractNumId w:val="21"/>
  </w:num>
  <w:num w:numId="13">
    <w:abstractNumId w:val="13"/>
  </w:num>
  <w:num w:numId="14">
    <w:abstractNumId w:val="23"/>
  </w:num>
  <w:num w:numId="15">
    <w:abstractNumId w:val="14"/>
  </w:num>
  <w:num w:numId="16">
    <w:abstractNumId w:val="10"/>
  </w:num>
  <w:num w:numId="17">
    <w:abstractNumId w:val="5"/>
  </w:num>
  <w:num w:numId="18">
    <w:abstractNumId w:val="26"/>
  </w:num>
  <w:num w:numId="19">
    <w:abstractNumId w:val="15"/>
  </w:num>
  <w:num w:numId="20">
    <w:abstractNumId w:val="19"/>
  </w:num>
  <w:num w:numId="21">
    <w:abstractNumId w:val="27"/>
  </w:num>
  <w:num w:numId="22">
    <w:abstractNumId w:val="30"/>
  </w:num>
  <w:num w:numId="23">
    <w:abstractNumId w:val="17"/>
  </w:num>
  <w:num w:numId="24">
    <w:abstractNumId w:val="8"/>
  </w:num>
  <w:num w:numId="25">
    <w:abstractNumId w:val="24"/>
  </w:num>
  <w:num w:numId="26">
    <w:abstractNumId w:val="4"/>
  </w:num>
  <w:num w:numId="27">
    <w:abstractNumId w:val="0"/>
  </w:num>
  <w:num w:numId="28">
    <w:abstractNumId w:val="20"/>
  </w:num>
  <w:num w:numId="29">
    <w:abstractNumId w:val="2"/>
  </w:num>
  <w:num w:numId="30">
    <w:abstractNumId w:val="9"/>
  </w:num>
  <w:num w:numId="31">
    <w:abstractNumId w:val="3"/>
  </w:num>
  <w:num w:numId="32">
    <w:abstractNumId w:val="18"/>
  </w:num>
  <w:num w:numId="3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5461"/>
    <w:rsid w:val="00006BB1"/>
    <w:rsid w:val="00006DE9"/>
    <w:rsid w:val="000074C4"/>
    <w:rsid w:val="000109A5"/>
    <w:rsid w:val="00010FE0"/>
    <w:rsid w:val="00011360"/>
    <w:rsid w:val="0001170C"/>
    <w:rsid w:val="00011766"/>
    <w:rsid w:val="00011986"/>
    <w:rsid w:val="00011C5F"/>
    <w:rsid w:val="0001245C"/>
    <w:rsid w:val="00013369"/>
    <w:rsid w:val="000144F8"/>
    <w:rsid w:val="00014945"/>
    <w:rsid w:val="00014A49"/>
    <w:rsid w:val="00014DEB"/>
    <w:rsid w:val="0001541B"/>
    <w:rsid w:val="0001622B"/>
    <w:rsid w:val="0001644E"/>
    <w:rsid w:val="00016A0C"/>
    <w:rsid w:val="000172CA"/>
    <w:rsid w:val="00017EDA"/>
    <w:rsid w:val="0002118F"/>
    <w:rsid w:val="000218AF"/>
    <w:rsid w:val="00021990"/>
    <w:rsid w:val="00021C9B"/>
    <w:rsid w:val="00021ECE"/>
    <w:rsid w:val="00022790"/>
    <w:rsid w:val="00022C9F"/>
    <w:rsid w:val="00023898"/>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1D0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0CA7"/>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0D42"/>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025D"/>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5296"/>
    <w:rsid w:val="000C6964"/>
    <w:rsid w:val="000C6AB5"/>
    <w:rsid w:val="000C7538"/>
    <w:rsid w:val="000C7659"/>
    <w:rsid w:val="000C7C4D"/>
    <w:rsid w:val="000D0254"/>
    <w:rsid w:val="000D056B"/>
    <w:rsid w:val="000D153C"/>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D66"/>
    <w:rsid w:val="000E0ECC"/>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232"/>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908"/>
    <w:rsid w:val="00126F1D"/>
    <w:rsid w:val="0012781D"/>
    <w:rsid w:val="00130168"/>
    <w:rsid w:val="00130BE1"/>
    <w:rsid w:val="001318E7"/>
    <w:rsid w:val="00131F8B"/>
    <w:rsid w:val="00132744"/>
    <w:rsid w:val="001330C7"/>
    <w:rsid w:val="00133784"/>
    <w:rsid w:val="00133AC7"/>
    <w:rsid w:val="00135E52"/>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674CB"/>
    <w:rsid w:val="0017004F"/>
    <w:rsid w:val="001707D2"/>
    <w:rsid w:val="00170A4B"/>
    <w:rsid w:val="00170A88"/>
    <w:rsid w:val="00170B3C"/>
    <w:rsid w:val="00172D1A"/>
    <w:rsid w:val="00176309"/>
    <w:rsid w:val="001765F6"/>
    <w:rsid w:val="00176D2D"/>
    <w:rsid w:val="001779E5"/>
    <w:rsid w:val="001779F1"/>
    <w:rsid w:val="001802CA"/>
    <w:rsid w:val="0018129E"/>
    <w:rsid w:val="001816EF"/>
    <w:rsid w:val="00181F7A"/>
    <w:rsid w:val="00182253"/>
    <w:rsid w:val="001825C2"/>
    <w:rsid w:val="00182C1B"/>
    <w:rsid w:val="001834F4"/>
    <w:rsid w:val="00183B99"/>
    <w:rsid w:val="00184D12"/>
    <w:rsid w:val="0018584F"/>
    <w:rsid w:val="00185D9D"/>
    <w:rsid w:val="00185E10"/>
    <w:rsid w:val="00186365"/>
    <w:rsid w:val="00186FFA"/>
    <w:rsid w:val="0018712B"/>
    <w:rsid w:val="00187135"/>
    <w:rsid w:val="00187AE7"/>
    <w:rsid w:val="001900A2"/>
    <w:rsid w:val="00191226"/>
    <w:rsid w:val="001915E3"/>
    <w:rsid w:val="00191DC6"/>
    <w:rsid w:val="00192BAC"/>
    <w:rsid w:val="00192DCF"/>
    <w:rsid w:val="00193DD4"/>
    <w:rsid w:val="00194A0C"/>
    <w:rsid w:val="00194D78"/>
    <w:rsid w:val="00195416"/>
    <w:rsid w:val="0019579C"/>
    <w:rsid w:val="00195E78"/>
    <w:rsid w:val="00196076"/>
    <w:rsid w:val="001964C0"/>
    <w:rsid w:val="001967F8"/>
    <w:rsid w:val="0019712E"/>
    <w:rsid w:val="00197BDF"/>
    <w:rsid w:val="001A0C55"/>
    <w:rsid w:val="001A103E"/>
    <w:rsid w:val="001A111A"/>
    <w:rsid w:val="001A11A8"/>
    <w:rsid w:val="001A1576"/>
    <w:rsid w:val="001A1940"/>
    <w:rsid w:val="001A2BE3"/>
    <w:rsid w:val="001A30F9"/>
    <w:rsid w:val="001A331B"/>
    <w:rsid w:val="001A4160"/>
    <w:rsid w:val="001A58D0"/>
    <w:rsid w:val="001A5D07"/>
    <w:rsid w:val="001A668C"/>
    <w:rsid w:val="001A6A25"/>
    <w:rsid w:val="001A6C9A"/>
    <w:rsid w:val="001A7BF3"/>
    <w:rsid w:val="001A7C85"/>
    <w:rsid w:val="001A7E74"/>
    <w:rsid w:val="001B070D"/>
    <w:rsid w:val="001B1A64"/>
    <w:rsid w:val="001B2EDD"/>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7B5"/>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3C1"/>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0DB"/>
    <w:rsid w:val="001F02B8"/>
    <w:rsid w:val="001F0967"/>
    <w:rsid w:val="001F0BB5"/>
    <w:rsid w:val="001F1047"/>
    <w:rsid w:val="001F1089"/>
    <w:rsid w:val="001F13ED"/>
    <w:rsid w:val="001F1951"/>
    <w:rsid w:val="001F1EC6"/>
    <w:rsid w:val="001F264F"/>
    <w:rsid w:val="001F30EF"/>
    <w:rsid w:val="001F3625"/>
    <w:rsid w:val="001F36A2"/>
    <w:rsid w:val="001F3FB3"/>
    <w:rsid w:val="001F4259"/>
    <w:rsid w:val="001F4898"/>
    <w:rsid w:val="001F5019"/>
    <w:rsid w:val="001F50D7"/>
    <w:rsid w:val="001F5DDD"/>
    <w:rsid w:val="00200870"/>
    <w:rsid w:val="00200E00"/>
    <w:rsid w:val="00202151"/>
    <w:rsid w:val="002026A7"/>
    <w:rsid w:val="00202789"/>
    <w:rsid w:val="00203461"/>
    <w:rsid w:val="00204B3A"/>
    <w:rsid w:val="00205969"/>
    <w:rsid w:val="00206164"/>
    <w:rsid w:val="00206773"/>
    <w:rsid w:val="00207194"/>
    <w:rsid w:val="00207806"/>
    <w:rsid w:val="002101E0"/>
    <w:rsid w:val="002103E3"/>
    <w:rsid w:val="00210C30"/>
    <w:rsid w:val="00211698"/>
    <w:rsid w:val="0021183C"/>
    <w:rsid w:val="00211D53"/>
    <w:rsid w:val="00211E49"/>
    <w:rsid w:val="00211EB6"/>
    <w:rsid w:val="00212413"/>
    <w:rsid w:val="002124E0"/>
    <w:rsid w:val="00212B6A"/>
    <w:rsid w:val="00212CC9"/>
    <w:rsid w:val="00212DC5"/>
    <w:rsid w:val="0021327A"/>
    <w:rsid w:val="002135D4"/>
    <w:rsid w:val="002136BC"/>
    <w:rsid w:val="00213742"/>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37E8D"/>
    <w:rsid w:val="00240427"/>
    <w:rsid w:val="00240A6A"/>
    <w:rsid w:val="00240D03"/>
    <w:rsid w:val="00241EBC"/>
    <w:rsid w:val="0024205E"/>
    <w:rsid w:val="00242553"/>
    <w:rsid w:val="002427D6"/>
    <w:rsid w:val="00242BA5"/>
    <w:rsid w:val="0024336B"/>
    <w:rsid w:val="00243B9B"/>
    <w:rsid w:val="00243B9D"/>
    <w:rsid w:val="00243C6C"/>
    <w:rsid w:val="00243C7D"/>
    <w:rsid w:val="00243D31"/>
    <w:rsid w:val="00244209"/>
    <w:rsid w:val="00244C44"/>
    <w:rsid w:val="00244CFE"/>
    <w:rsid w:val="00244DDE"/>
    <w:rsid w:val="002458BB"/>
    <w:rsid w:val="00245C9B"/>
    <w:rsid w:val="00245CF8"/>
    <w:rsid w:val="00246081"/>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25E"/>
    <w:rsid w:val="002813C1"/>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3BE6"/>
    <w:rsid w:val="00294C4F"/>
    <w:rsid w:val="00294DA9"/>
    <w:rsid w:val="002962B1"/>
    <w:rsid w:val="00296976"/>
    <w:rsid w:val="00296D6D"/>
    <w:rsid w:val="002970F2"/>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C7D"/>
    <w:rsid w:val="002B2D10"/>
    <w:rsid w:val="002B3667"/>
    <w:rsid w:val="002B39DF"/>
    <w:rsid w:val="002B3A79"/>
    <w:rsid w:val="002B4D11"/>
    <w:rsid w:val="002B50EA"/>
    <w:rsid w:val="002B60E3"/>
    <w:rsid w:val="002B6C25"/>
    <w:rsid w:val="002B7215"/>
    <w:rsid w:val="002B74ED"/>
    <w:rsid w:val="002B7773"/>
    <w:rsid w:val="002C06B7"/>
    <w:rsid w:val="002C139E"/>
    <w:rsid w:val="002C180A"/>
    <w:rsid w:val="002C39FE"/>
    <w:rsid w:val="002C3D7B"/>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6A9A"/>
    <w:rsid w:val="002D78A9"/>
    <w:rsid w:val="002D7C18"/>
    <w:rsid w:val="002E0340"/>
    <w:rsid w:val="002E0E1B"/>
    <w:rsid w:val="002E1D1D"/>
    <w:rsid w:val="002E1E1E"/>
    <w:rsid w:val="002E1EB8"/>
    <w:rsid w:val="002E22C5"/>
    <w:rsid w:val="002E3686"/>
    <w:rsid w:val="002E3A21"/>
    <w:rsid w:val="002E4153"/>
    <w:rsid w:val="002E4857"/>
    <w:rsid w:val="002E5239"/>
    <w:rsid w:val="002E5B24"/>
    <w:rsid w:val="002E5E7D"/>
    <w:rsid w:val="002E62F0"/>
    <w:rsid w:val="002E642C"/>
    <w:rsid w:val="002E69B4"/>
    <w:rsid w:val="002E6CE6"/>
    <w:rsid w:val="002E6D98"/>
    <w:rsid w:val="002E6DEE"/>
    <w:rsid w:val="002E725C"/>
    <w:rsid w:val="002E7FEB"/>
    <w:rsid w:val="002F0372"/>
    <w:rsid w:val="002F11B9"/>
    <w:rsid w:val="002F143E"/>
    <w:rsid w:val="002F144D"/>
    <w:rsid w:val="002F18A9"/>
    <w:rsid w:val="002F1E06"/>
    <w:rsid w:val="002F24AD"/>
    <w:rsid w:val="002F3261"/>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3E"/>
    <w:rsid w:val="0031128C"/>
    <w:rsid w:val="00311594"/>
    <w:rsid w:val="00312957"/>
    <w:rsid w:val="00312CEC"/>
    <w:rsid w:val="00313A5B"/>
    <w:rsid w:val="00313CB0"/>
    <w:rsid w:val="00313F96"/>
    <w:rsid w:val="00313FD2"/>
    <w:rsid w:val="003145A2"/>
    <w:rsid w:val="003151C8"/>
    <w:rsid w:val="003152B5"/>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8AB"/>
    <w:rsid w:val="00327B8D"/>
    <w:rsid w:val="00327DEB"/>
    <w:rsid w:val="0033013C"/>
    <w:rsid w:val="003302A3"/>
    <w:rsid w:val="003302DF"/>
    <w:rsid w:val="00330AFE"/>
    <w:rsid w:val="003315AB"/>
    <w:rsid w:val="00331C86"/>
    <w:rsid w:val="0033246C"/>
    <w:rsid w:val="00332CA2"/>
    <w:rsid w:val="00333485"/>
    <w:rsid w:val="003344D2"/>
    <w:rsid w:val="00335235"/>
    <w:rsid w:val="00335B31"/>
    <w:rsid w:val="00335C2D"/>
    <w:rsid w:val="00340887"/>
    <w:rsid w:val="00340968"/>
    <w:rsid w:val="00340BBC"/>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558"/>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7C9"/>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15B2"/>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CC3"/>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5E6"/>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7"/>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416"/>
    <w:rsid w:val="004107ED"/>
    <w:rsid w:val="00410E03"/>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306D"/>
    <w:rsid w:val="004234F9"/>
    <w:rsid w:val="00423737"/>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6A1"/>
    <w:rsid w:val="00430D13"/>
    <w:rsid w:val="00430D56"/>
    <w:rsid w:val="00431CBE"/>
    <w:rsid w:val="0043202F"/>
    <w:rsid w:val="00432110"/>
    <w:rsid w:val="004322E3"/>
    <w:rsid w:val="004327FE"/>
    <w:rsid w:val="00432870"/>
    <w:rsid w:val="00432A2F"/>
    <w:rsid w:val="00433424"/>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431"/>
    <w:rsid w:val="00445FF7"/>
    <w:rsid w:val="00447263"/>
    <w:rsid w:val="004478B9"/>
    <w:rsid w:val="00450C71"/>
    <w:rsid w:val="00451323"/>
    <w:rsid w:val="0045159A"/>
    <w:rsid w:val="004521DE"/>
    <w:rsid w:val="00452405"/>
    <w:rsid w:val="00452B55"/>
    <w:rsid w:val="0045315D"/>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589"/>
    <w:rsid w:val="00466292"/>
    <w:rsid w:val="004662D7"/>
    <w:rsid w:val="00466649"/>
    <w:rsid w:val="00467311"/>
    <w:rsid w:val="00467E1A"/>
    <w:rsid w:val="00467FA5"/>
    <w:rsid w:val="004701AA"/>
    <w:rsid w:val="004705EF"/>
    <w:rsid w:val="004713B1"/>
    <w:rsid w:val="004721BC"/>
    <w:rsid w:val="00473D37"/>
    <w:rsid w:val="00474556"/>
    <w:rsid w:val="0047458B"/>
    <w:rsid w:val="004745CB"/>
    <w:rsid w:val="00474673"/>
    <w:rsid w:val="00475614"/>
    <w:rsid w:val="00475755"/>
    <w:rsid w:val="00475C63"/>
    <w:rsid w:val="00475D9E"/>
    <w:rsid w:val="004762AB"/>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1DF0"/>
    <w:rsid w:val="00491F5C"/>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3D"/>
    <w:rsid w:val="004B47C7"/>
    <w:rsid w:val="004B48F2"/>
    <w:rsid w:val="004B4D26"/>
    <w:rsid w:val="004B5191"/>
    <w:rsid w:val="004B51EE"/>
    <w:rsid w:val="004B529D"/>
    <w:rsid w:val="004B6209"/>
    <w:rsid w:val="004B695B"/>
    <w:rsid w:val="004B6CEF"/>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2F3F"/>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59E6"/>
    <w:rsid w:val="00516D12"/>
    <w:rsid w:val="00516FD9"/>
    <w:rsid w:val="0051727D"/>
    <w:rsid w:val="0051734D"/>
    <w:rsid w:val="00517C73"/>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057"/>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511F"/>
    <w:rsid w:val="005756EF"/>
    <w:rsid w:val="0057596A"/>
    <w:rsid w:val="00575CAA"/>
    <w:rsid w:val="00575E58"/>
    <w:rsid w:val="00576469"/>
    <w:rsid w:val="005769C8"/>
    <w:rsid w:val="00576D5B"/>
    <w:rsid w:val="00577F4E"/>
    <w:rsid w:val="005802EE"/>
    <w:rsid w:val="005807DF"/>
    <w:rsid w:val="00580D6E"/>
    <w:rsid w:val="00580E26"/>
    <w:rsid w:val="005815FD"/>
    <w:rsid w:val="005818F0"/>
    <w:rsid w:val="0058318F"/>
    <w:rsid w:val="005843CA"/>
    <w:rsid w:val="0058496C"/>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658"/>
    <w:rsid w:val="00597EBB"/>
    <w:rsid w:val="005A0173"/>
    <w:rsid w:val="005A1C50"/>
    <w:rsid w:val="005A1FD9"/>
    <w:rsid w:val="005A234D"/>
    <w:rsid w:val="005A23C4"/>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241"/>
    <w:rsid w:val="005C04AE"/>
    <w:rsid w:val="005C11C0"/>
    <w:rsid w:val="005C2162"/>
    <w:rsid w:val="005C2684"/>
    <w:rsid w:val="005C2EAB"/>
    <w:rsid w:val="005C2FE5"/>
    <w:rsid w:val="005C3112"/>
    <w:rsid w:val="005C492F"/>
    <w:rsid w:val="005C50BD"/>
    <w:rsid w:val="005C55F6"/>
    <w:rsid w:val="005C5A5E"/>
    <w:rsid w:val="005C76DF"/>
    <w:rsid w:val="005C7C25"/>
    <w:rsid w:val="005D07CC"/>
    <w:rsid w:val="005D08ED"/>
    <w:rsid w:val="005D1312"/>
    <w:rsid w:val="005D14E2"/>
    <w:rsid w:val="005D1A3E"/>
    <w:rsid w:val="005D2497"/>
    <w:rsid w:val="005D26C8"/>
    <w:rsid w:val="005D2E62"/>
    <w:rsid w:val="005D3076"/>
    <w:rsid w:val="005D3565"/>
    <w:rsid w:val="005D3741"/>
    <w:rsid w:val="005D3842"/>
    <w:rsid w:val="005D49DA"/>
    <w:rsid w:val="005D62D8"/>
    <w:rsid w:val="005D67F8"/>
    <w:rsid w:val="005D6AFC"/>
    <w:rsid w:val="005D712D"/>
    <w:rsid w:val="005D718D"/>
    <w:rsid w:val="005D79C5"/>
    <w:rsid w:val="005D7DE6"/>
    <w:rsid w:val="005E165C"/>
    <w:rsid w:val="005E238F"/>
    <w:rsid w:val="005E2732"/>
    <w:rsid w:val="005E3F9F"/>
    <w:rsid w:val="005E4F2B"/>
    <w:rsid w:val="005E6D8A"/>
    <w:rsid w:val="005F073B"/>
    <w:rsid w:val="005F085D"/>
    <w:rsid w:val="005F0A0B"/>
    <w:rsid w:val="005F0D07"/>
    <w:rsid w:val="005F0E4E"/>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38D"/>
    <w:rsid w:val="00612DF0"/>
    <w:rsid w:val="006135EF"/>
    <w:rsid w:val="006139EF"/>
    <w:rsid w:val="0061415E"/>
    <w:rsid w:val="006144DC"/>
    <w:rsid w:val="00614CD1"/>
    <w:rsid w:val="00614FCF"/>
    <w:rsid w:val="00615CD3"/>
    <w:rsid w:val="00616FAD"/>
    <w:rsid w:val="006170B7"/>
    <w:rsid w:val="00617D97"/>
    <w:rsid w:val="0062202B"/>
    <w:rsid w:val="006222B2"/>
    <w:rsid w:val="006224A4"/>
    <w:rsid w:val="00622BEC"/>
    <w:rsid w:val="006233EE"/>
    <w:rsid w:val="0062428B"/>
    <w:rsid w:val="0062489F"/>
    <w:rsid w:val="00624A16"/>
    <w:rsid w:val="00624D37"/>
    <w:rsid w:val="00625597"/>
    <w:rsid w:val="006256A6"/>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2CB"/>
    <w:rsid w:val="006345C3"/>
    <w:rsid w:val="00634BE8"/>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FF4"/>
    <w:rsid w:val="006503A0"/>
    <w:rsid w:val="00650E37"/>
    <w:rsid w:val="00650E85"/>
    <w:rsid w:val="00652869"/>
    <w:rsid w:val="00652C82"/>
    <w:rsid w:val="00652D86"/>
    <w:rsid w:val="00652F24"/>
    <w:rsid w:val="00652FFF"/>
    <w:rsid w:val="00653F38"/>
    <w:rsid w:val="0065409A"/>
    <w:rsid w:val="00654CCF"/>
    <w:rsid w:val="00655D1E"/>
    <w:rsid w:val="00655F0E"/>
    <w:rsid w:val="0065682D"/>
    <w:rsid w:val="0065732C"/>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BE"/>
    <w:rsid w:val="00665DAE"/>
    <w:rsid w:val="00666086"/>
    <w:rsid w:val="00667501"/>
    <w:rsid w:val="00667F37"/>
    <w:rsid w:val="00670071"/>
    <w:rsid w:val="0067015A"/>
    <w:rsid w:val="0067017C"/>
    <w:rsid w:val="00670B14"/>
    <w:rsid w:val="00670DDA"/>
    <w:rsid w:val="00670FE6"/>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D7B"/>
    <w:rsid w:val="00677E70"/>
    <w:rsid w:val="006803ED"/>
    <w:rsid w:val="0068048F"/>
    <w:rsid w:val="006804BC"/>
    <w:rsid w:val="0068169C"/>
    <w:rsid w:val="006818A4"/>
    <w:rsid w:val="0068212A"/>
    <w:rsid w:val="0068300C"/>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3F7D"/>
    <w:rsid w:val="00694270"/>
    <w:rsid w:val="006944F3"/>
    <w:rsid w:val="00694B46"/>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7F7"/>
    <w:rsid w:val="006A5E1B"/>
    <w:rsid w:val="006A5E84"/>
    <w:rsid w:val="006A6BB4"/>
    <w:rsid w:val="006A72E3"/>
    <w:rsid w:val="006A7F77"/>
    <w:rsid w:val="006A7FFB"/>
    <w:rsid w:val="006B05A2"/>
    <w:rsid w:val="006B122D"/>
    <w:rsid w:val="006B2238"/>
    <w:rsid w:val="006B28E9"/>
    <w:rsid w:val="006B2CD5"/>
    <w:rsid w:val="006B2FB3"/>
    <w:rsid w:val="006B3333"/>
    <w:rsid w:val="006B3459"/>
    <w:rsid w:val="006B35D1"/>
    <w:rsid w:val="006B39A2"/>
    <w:rsid w:val="006B4BAD"/>
    <w:rsid w:val="006B5095"/>
    <w:rsid w:val="006B6977"/>
    <w:rsid w:val="006B69B2"/>
    <w:rsid w:val="006B6B8F"/>
    <w:rsid w:val="006C0399"/>
    <w:rsid w:val="006C0925"/>
    <w:rsid w:val="006C0BEA"/>
    <w:rsid w:val="006C0CBB"/>
    <w:rsid w:val="006C0D75"/>
    <w:rsid w:val="006C14F9"/>
    <w:rsid w:val="006C1790"/>
    <w:rsid w:val="006C1952"/>
    <w:rsid w:val="006C1A6A"/>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198"/>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282"/>
    <w:rsid w:val="007106D4"/>
    <w:rsid w:val="00710BCC"/>
    <w:rsid w:val="00710D5E"/>
    <w:rsid w:val="00711275"/>
    <w:rsid w:val="007116C6"/>
    <w:rsid w:val="00711888"/>
    <w:rsid w:val="00711E13"/>
    <w:rsid w:val="00712A7A"/>
    <w:rsid w:val="00712EDA"/>
    <w:rsid w:val="00713648"/>
    <w:rsid w:val="007143F8"/>
    <w:rsid w:val="007156B6"/>
    <w:rsid w:val="00715AFF"/>
    <w:rsid w:val="00715FD6"/>
    <w:rsid w:val="007162D8"/>
    <w:rsid w:val="0071705B"/>
    <w:rsid w:val="00720213"/>
    <w:rsid w:val="007202E7"/>
    <w:rsid w:val="007204EA"/>
    <w:rsid w:val="00721CB1"/>
    <w:rsid w:val="0072256E"/>
    <w:rsid w:val="00722DD1"/>
    <w:rsid w:val="0072313E"/>
    <w:rsid w:val="007236DB"/>
    <w:rsid w:val="00723BD3"/>
    <w:rsid w:val="00723C15"/>
    <w:rsid w:val="007249DE"/>
    <w:rsid w:val="00724B19"/>
    <w:rsid w:val="00724C95"/>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6FE1"/>
    <w:rsid w:val="007375A2"/>
    <w:rsid w:val="007401FE"/>
    <w:rsid w:val="007405B2"/>
    <w:rsid w:val="0074067F"/>
    <w:rsid w:val="00740832"/>
    <w:rsid w:val="00740CC9"/>
    <w:rsid w:val="007412C6"/>
    <w:rsid w:val="00743028"/>
    <w:rsid w:val="007433FE"/>
    <w:rsid w:val="007455FD"/>
    <w:rsid w:val="00745635"/>
    <w:rsid w:val="00746086"/>
    <w:rsid w:val="007460F5"/>
    <w:rsid w:val="00746659"/>
    <w:rsid w:val="0074691A"/>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B0F"/>
    <w:rsid w:val="00760F56"/>
    <w:rsid w:val="007613F5"/>
    <w:rsid w:val="00761485"/>
    <w:rsid w:val="00761FEE"/>
    <w:rsid w:val="0076273A"/>
    <w:rsid w:val="007633C9"/>
    <w:rsid w:val="007634D3"/>
    <w:rsid w:val="00763B3C"/>
    <w:rsid w:val="00763D35"/>
    <w:rsid w:val="00763EF1"/>
    <w:rsid w:val="00764794"/>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CB0"/>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3B38"/>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1FF9"/>
    <w:rsid w:val="007E212C"/>
    <w:rsid w:val="007E2419"/>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06E"/>
    <w:rsid w:val="00803A30"/>
    <w:rsid w:val="00804DEF"/>
    <w:rsid w:val="00804E1E"/>
    <w:rsid w:val="00804F2D"/>
    <w:rsid w:val="0080527E"/>
    <w:rsid w:val="00805924"/>
    <w:rsid w:val="00805994"/>
    <w:rsid w:val="0080716C"/>
    <w:rsid w:val="0080743E"/>
    <w:rsid w:val="008074C3"/>
    <w:rsid w:val="00807A07"/>
    <w:rsid w:val="00807DC4"/>
    <w:rsid w:val="00810469"/>
    <w:rsid w:val="0081099A"/>
    <w:rsid w:val="00810ECE"/>
    <w:rsid w:val="008119BF"/>
    <w:rsid w:val="00812113"/>
    <w:rsid w:val="0081331C"/>
    <w:rsid w:val="00813CDD"/>
    <w:rsid w:val="00814452"/>
    <w:rsid w:val="00815615"/>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5028"/>
    <w:rsid w:val="0083519B"/>
    <w:rsid w:val="00835883"/>
    <w:rsid w:val="00835CFD"/>
    <w:rsid w:val="00835D51"/>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561"/>
    <w:rsid w:val="008556AB"/>
    <w:rsid w:val="00855C9D"/>
    <w:rsid w:val="0085658A"/>
    <w:rsid w:val="00856D11"/>
    <w:rsid w:val="008579DF"/>
    <w:rsid w:val="008602D0"/>
    <w:rsid w:val="00860479"/>
    <w:rsid w:val="008605FB"/>
    <w:rsid w:val="00861CC2"/>
    <w:rsid w:val="008620E7"/>
    <w:rsid w:val="008627F9"/>
    <w:rsid w:val="00862C9D"/>
    <w:rsid w:val="008632B9"/>
    <w:rsid w:val="0086362F"/>
    <w:rsid w:val="00863779"/>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2E92"/>
    <w:rsid w:val="0089365F"/>
    <w:rsid w:val="00894FF0"/>
    <w:rsid w:val="0089558A"/>
    <w:rsid w:val="00896937"/>
    <w:rsid w:val="00896CB5"/>
    <w:rsid w:val="008976FE"/>
    <w:rsid w:val="00897C5A"/>
    <w:rsid w:val="008A18F7"/>
    <w:rsid w:val="008A1DD7"/>
    <w:rsid w:val="008A338F"/>
    <w:rsid w:val="008A36E4"/>
    <w:rsid w:val="008A4146"/>
    <w:rsid w:val="008A416F"/>
    <w:rsid w:val="008A4614"/>
    <w:rsid w:val="008A5008"/>
    <w:rsid w:val="008A5258"/>
    <w:rsid w:val="008A620C"/>
    <w:rsid w:val="008A66DC"/>
    <w:rsid w:val="008A7340"/>
    <w:rsid w:val="008B016F"/>
    <w:rsid w:val="008B0564"/>
    <w:rsid w:val="008B0916"/>
    <w:rsid w:val="008B171F"/>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FEE"/>
    <w:rsid w:val="008C1AC8"/>
    <w:rsid w:val="008C1AD6"/>
    <w:rsid w:val="008C1DC0"/>
    <w:rsid w:val="008C1FE3"/>
    <w:rsid w:val="008C2658"/>
    <w:rsid w:val="008C2964"/>
    <w:rsid w:val="008C2C58"/>
    <w:rsid w:val="008C375E"/>
    <w:rsid w:val="008C4325"/>
    <w:rsid w:val="008C4C4D"/>
    <w:rsid w:val="008C62C8"/>
    <w:rsid w:val="008C6308"/>
    <w:rsid w:val="008C6EF2"/>
    <w:rsid w:val="008C7073"/>
    <w:rsid w:val="008C7160"/>
    <w:rsid w:val="008D0543"/>
    <w:rsid w:val="008D1550"/>
    <w:rsid w:val="008D1EA2"/>
    <w:rsid w:val="008D2946"/>
    <w:rsid w:val="008D29C5"/>
    <w:rsid w:val="008D3C06"/>
    <w:rsid w:val="008D4596"/>
    <w:rsid w:val="008D51B2"/>
    <w:rsid w:val="008D655D"/>
    <w:rsid w:val="008D6A5D"/>
    <w:rsid w:val="008D707B"/>
    <w:rsid w:val="008D75B2"/>
    <w:rsid w:val="008D75C6"/>
    <w:rsid w:val="008E06FE"/>
    <w:rsid w:val="008E0F52"/>
    <w:rsid w:val="008E103B"/>
    <w:rsid w:val="008E13F3"/>
    <w:rsid w:val="008E1644"/>
    <w:rsid w:val="008E1A57"/>
    <w:rsid w:val="008E1D83"/>
    <w:rsid w:val="008E1FB0"/>
    <w:rsid w:val="008E22D5"/>
    <w:rsid w:val="008E351D"/>
    <w:rsid w:val="008E39E6"/>
    <w:rsid w:val="008E4269"/>
    <w:rsid w:val="008E42A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36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20E"/>
    <w:rsid w:val="0091466E"/>
    <w:rsid w:val="00915311"/>
    <w:rsid w:val="00915531"/>
    <w:rsid w:val="00915849"/>
    <w:rsid w:val="009159A4"/>
    <w:rsid w:val="00915B81"/>
    <w:rsid w:val="00917344"/>
    <w:rsid w:val="00920125"/>
    <w:rsid w:val="0092067F"/>
    <w:rsid w:val="009206D7"/>
    <w:rsid w:val="0092101F"/>
    <w:rsid w:val="009216CA"/>
    <w:rsid w:val="00921F0F"/>
    <w:rsid w:val="009227EA"/>
    <w:rsid w:val="00922B26"/>
    <w:rsid w:val="00922CFC"/>
    <w:rsid w:val="009239C1"/>
    <w:rsid w:val="00924896"/>
    <w:rsid w:val="00924A85"/>
    <w:rsid w:val="00925776"/>
    <w:rsid w:val="00926359"/>
    <w:rsid w:val="00927095"/>
    <w:rsid w:val="00927C14"/>
    <w:rsid w:val="00927E04"/>
    <w:rsid w:val="009300B2"/>
    <w:rsid w:val="00930A5D"/>
    <w:rsid w:val="00930C42"/>
    <w:rsid w:val="00931448"/>
    <w:rsid w:val="00931ACC"/>
    <w:rsid w:val="00931D43"/>
    <w:rsid w:val="0093373F"/>
    <w:rsid w:val="00933D3E"/>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DFC"/>
    <w:rsid w:val="009705AA"/>
    <w:rsid w:val="00970DD5"/>
    <w:rsid w:val="009711E0"/>
    <w:rsid w:val="009715AB"/>
    <w:rsid w:val="00972090"/>
    <w:rsid w:val="009720AB"/>
    <w:rsid w:val="00972232"/>
    <w:rsid w:val="00972697"/>
    <w:rsid w:val="00972BF4"/>
    <w:rsid w:val="0097313A"/>
    <w:rsid w:val="0097371B"/>
    <w:rsid w:val="00973C34"/>
    <w:rsid w:val="009748BF"/>
    <w:rsid w:val="00974F09"/>
    <w:rsid w:val="009756ED"/>
    <w:rsid w:val="00976F48"/>
    <w:rsid w:val="00977746"/>
    <w:rsid w:val="00980501"/>
    <w:rsid w:val="0098092C"/>
    <w:rsid w:val="00981C49"/>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A87"/>
    <w:rsid w:val="00992E50"/>
    <w:rsid w:val="00993836"/>
    <w:rsid w:val="00994B77"/>
    <w:rsid w:val="00995F6F"/>
    <w:rsid w:val="00995FB5"/>
    <w:rsid w:val="00996202"/>
    <w:rsid w:val="00997F19"/>
    <w:rsid w:val="009A03E1"/>
    <w:rsid w:val="009A0E19"/>
    <w:rsid w:val="009A16BB"/>
    <w:rsid w:val="009A1B69"/>
    <w:rsid w:val="009A280F"/>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503"/>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66BB"/>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687"/>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52D"/>
    <w:rsid w:val="009F36A4"/>
    <w:rsid w:val="009F3B7E"/>
    <w:rsid w:val="009F3C53"/>
    <w:rsid w:val="009F409E"/>
    <w:rsid w:val="009F42DF"/>
    <w:rsid w:val="009F494C"/>
    <w:rsid w:val="009F5041"/>
    <w:rsid w:val="009F50A2"/>
    <w:rsid w:val="009F5190"/>
    <w:rsid w:val="009F554D"/>
    <w:rsid w:val="009F55C9"/>
    <w:rsid w:val="009F561B"/>
    <w:rsid w:val="009F58B4"/>
    <w:rsid w:val="009F58FE"/>
    <w:rsid w:val="009F5E87"/>
    <w:rsid w:val="009F5EBE"/>
    <w:rsid w:val="009F763A"/>
    <w:rsid w:val="009F7B2D"/>
    <w:rsid w:val="009F7D66"/>
    <w:rsid w:val="009F7F58"/>
    <w:rsid w:val="00A00553"/>
    <w:rsid w:val="00A007D4"/>
    <w:rsid w:val="00A01584"/>
    <w:rsid w:val="00A01739"/>
    <w:rsid w:val="00A01967"/>
    <w:rsid w:val="00A02164"/>
    <w:rsid w:val="00A02FCE"/>
    <w:rsid w:val="00A04123"/>
    <w:rsid w:val="00A04CAD"/>
    <w:rsid w:val="00A04E9B"/>
    <w:rsid w:val="00A0528D"/>
    <w:rsid w:val="00A0542C"/>
    <w:rsid w:val="00A05E58"/>
    <w:rsid w:val="00A0608B"/>
    <w:rsid w:val="00A065AE"/>
    <w:rsid w:val="00A07187"/>
    <w:rsid w:val="00A071E5"/>
    <w:rsid w:val="00A07F41"/>
    <w:rsid w:val="00A07FAB"/>
    <w:rsid w:val="00A10031"/>
    <w:rsid w:val="00A107EE"/>
    <w:rsid w:val="00A10F79"/>
    <w:rsid w:val="00A118E1"/>
    <w:rsid w:val="00A1209A"/>
    <w:rsid w:val="00A12336"/>
    <w:rsid w:val="00A12FE5"/>
    <w:rsid w:val="00A13279"/>
    <w:rsid w:val="00A13A13"/>
    <w:rsid w:val="00A142E0"/>
    <w:rsid w:val="00A14C42"/>
    <w:rsid w:val="00A14D40"/>
    <w:rsid w:val="00A1575C"/>
    <w:rsid w:val="00A15A24"/>
    <w:rsid w:val="00A15A9B"/>
    <w:rsid w:val="00A16294"/>
    <w:rsid w:val="00A16E81"/>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4D58"/>
    <w:rsid w:val="00A359A9"/>
    <w:rsid w:val="00A36541"/>
    <w:rsid w:val="00A36B92"/>
    <w:rsid w:val="00A40227"/>
    <w:rsid w:val="00A40E01"/>
    <w:rsid w:val="00A4171B"/>
    <w:rsid w:val="00A41E43"/>
    <w:rsid w:val="00A42024"/>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B4E"/>
    <w:rsid w:val="00A53CB5"/>
    <w:rsid w:val="00A54471"/>
    <w:rsid w:val="00A54F15"/>
    <w:rsid w:val="00A54F4E"/>
    <w:rsid w:val="00A5592F"/>
    <w:rsid w:val="00A55D1A"/>
    <w:rsid w:val="00A55D30"/>
    <w:rsid w:val="00A57834"/>
    <w:rsid w:val="00A578CE"/>
    <w:rsid w:val="00A60A02"/>
    <w:rsid w:val="00A60EDB"/>
    <w:rsid w:val="00A612D1"/>
    <w:rsid w:val="00A6147B"/>
    <w:rsid w:val="00A62EE1"/>
    <w:rsid w:val="00A630DE"/>
    <w:rsid w:val="00A6316D"/>
    <w:rsid w:val="00A63519"/>
    <w:rsid w:val="00A63F0A"/>
    <w:rsid w:val="00A641E4"/>
    <w:rsid w:val="00A6458B"/>
    <w:rsid w:val="00A64C66"/>
    <w:rsid w:val="00A655AE"/>
    <w:rsid w:val="00A65A8E"/>
    <w:rsid w:val="00A66007"/>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5B96"/>
    <w:rsid w:val="00A768B5"/>
    <w:rsid w:val="00A769DE"/>
    <w:rsid w:val="00A76A0B"/>
    <w:rsid w:val="00A77B1B"/>
    <w:rsid w:val="00A8025E"/>
    <w:rsid w:val="00A80FED"/>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4DC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6C9"/>
    <w:rsid w:val="00AD2794"/>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561"/>
    <w:rsid w:val="00AE5E52"/>
    <w:rsid w:val="00AE5F5C"/>
    <w:rsid w:val="00AE6B28"/>
    <w:rsid w:val="00AE6D7E"/>
    <w:rsid w:val="00AE732B"/>
    <w:rsid w:val="00AE776C"/>
    <w:rsid w:val="00AE7A30"/>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CA8"/>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F2"/>
    <w:rsid w:val="00B1513F"/>
    <w:rsid w:val="00B15573"/>
    <w:rsid w:val="00B160BC"/>
    <w:rsid w:val="00B16C5B"/>
    <w:rsid w:val="00B20A13"/>
    <w:rsid w:val="00B20E92"/>
    <w:rsid w:val="00B2136C"/>
    <w:rsid w:val="00B2154A"/>
    <w:rsid w:val="00B215E5"/>
    <w:rsid w:val="00B2295E"/>
    <w:rsid w:val="00B23A83"/>
    <w:rsid w:val="00B2416D"/>
    <w:rsid w:val="00B24246"/>
    <w:rsid w:val="00B24E29"/>
    <w:rsid w:val="00B25023"/>
    <w:rsid w:val="00B253A3"/>
    <w:rsid w:val="00B25560"/>
    <w:rsid w:val="00B255E6"/>
    <w:rsid w:val="00B25B00"/>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3CC4"/>
    <w:rsid w:val="00B44A37"/>
    <w:rsid w:val="00B44CE6"/>
    <w:rsid w:val="00B45355"/>
    <w:rsid w:val="00B46640"/>
    <w:rsid w:val="00B46916"/>
    <w:rsid w:val="00B4765C"/>
    <w:rsid w:val="00B50617"/>
    <w:rsid w:val="00B507D3"/>
    <w:rsid w:val="00B50D62"/>
    <w:rsid w:val="00B51741"/>
    <w:rsid w:val="00B5213A"/>
    <w:rsid w:val="00B5342F"/>
    <w:rsid w:val="00B53D99"/>
    <w:rsid w:val="00B542EC"/>
    <w:rsid w:val="00B544E6"/>
    <w:rsid w:val="00B54668"/>
    <w:rsid w:val="00B54B07"/>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088"/>
    <w:rsid w:val="00BD0858"/>
    <w:rsid w:val="00BD088E"/>
    <w:rsid w:val="00BD1281"/>
    <w:rsid w:val="00BD1EF4"/>
    <w:rsid w:val="00BD333C"/>
    <w:rsid w:val="00BD337C"/>
    <w:rsid w:val="00BD3AE1"/>
    <w:rsid w:val="00BD3E27"/>
    <w:rsid w:val="00BD3E7B"/>
    <w:rsid w:val="00BD3EC0"/>
    <w:rsid w:val="00BD423F"/>
    <w:rsid w:val="00BD4A29"/>
    <w:rsid w:val="00BD4C57"/>
    <w:rsid w:val="00BD4FAC"/>
    <w:rsid w:val="00BD51DE"/>
    <w:rsid w:val="00BD5AA1"/>
    <w:rsid w:val="00BD7D00"/>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11D"/>
    <w:rsid w:val="00C024FC"/>
    <w:rsid w:val="00C04D33"/>
    <w:rsid w:val="00C054FB"/>
    <w:rsid w:val="00C05A60"/>
    <w:rsid w:val="00C0702E"/>
    <w:rsid w:val="00C071A7"/>
    <w:rsid w:val="00C07667"/>
    <w:rsid w:val="00C11BEB"/>
    <w:rsid w:val="00C123C3"/>
    <w:rsid w:val="00C1241F"/>
    <w:rsid w:val="00C1274B"/>
    <w:rsid w:val="00C129F5"/>
    <w:rsid w:val="00C13014"/>
    <w:rsid w:val="00C135E3"/>
    <w:rsid w:val="00C13D66"/>
    <w:rsid w:val="00C14541"/>
    <w:rsid w:val="00C14773"/>
    <w:rsid w:val="00C1478B"/>
    <w:rsid w:val="00C150C6"/>
    <w:rsid w:val="00C15EDB"/>
    <w:rsid w:val="00C1675B"/>
    <w:rsid w:val="00C16C46"/>
    <w:rsid w:val="00C16C4F"/>
    <w:rsid w:val="00C16CA0"/>
    <w:rsid w:val="00C20531"/>
    <w:rsid w:val="00C20BD5"/>
    <w:rsid w:val="00C20CA8"/>
    <w:rsid w:val="00C223EF"/>
    <w:rsid w:val="00C2253B"/>
    <w:rsid w:val="00C2255D"/>
    <w:rsid w:val="00C22B9D"/>
    <w:rsid w:val="00C25681"/>
    <w:rsid w:val="00C26CD4"/>
    <w:rsid w:val="00C275B1"/>
    <w:rsid w:val="00C31852"/>
    <w:rsid w:val="00C31878"/>
    <w:rsid w:val="00C3187D"/>
    <w:rsid w:val="00C3190D"/>
    <w:rsid w:val="00C328B1"/>
    <w:rsid w:val="00C32C8F"/>
    <w:rsid w:val="00C32CA6"/>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BBF"/>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EFC"/>
    <w:rsid w:val="00C801BE"/>
    <w:rsid w:val="00C8048E"/>
    <w:rsid w:val="00C818EB"/>
    <w:rsid w:val="00C81BA7"/>
    <w:rsid w:val="00C826BB"/>
    <w:rsid w:val="00C82B81"/>
    <w:rsid w:val="00C82D6B"/>
    <w:rsid w:val="00C82D8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2D6"/>
    <w:rsid w:val="00C916A6"/>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E0C"/>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1DDB"/>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1D2"/>
    <w:rsid w:val="00D064E8"/>
    <w:rsid w:val="00D06708"/>
    <w:rsid w:val="00D06AE8"/>
    <w:rsid w:val="00D07CAE"/>
    <w:rsid w:val="00D07F0C"/>
    <w:rsid w:val="00D10390"/>
    <w:rsid w:val="00D1088D"/>
    <w:rsid w:val="00D108F5"/>
    <w:rsid w:val="00D109D9"/>
    <w:rsid w:val="00D11114"/>
    <w:rsid w:val="00D11414"/>
    <w:rsid w:val="00D118DB"/>
    <w:rsid w:val="00D12359"/>
    <w:rsid w:val="00D124DB"/>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0BC7"/>
    <w:rsid w:val="00D216A7"/>
    <w:rsid w:val="00D216D6"/>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689E"/>
    <w:rsid w:val="00D37E2C"/>
    <w:rsid w:val="00D40835"/>
    <w:rsid w:val="00D41ADD"/>
    <w:rsid w:val="00D433D2"/>
    <w:rsid w:val="00D44018"/>
    <w:rsid w:val="00D440BD"/>
    <w:rsid w:val="00D44806"/>
    <w:rsid w:val="00D44A4C"/>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449"/>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5C26"/>
    <w:rsid w:val="00DE6DE9"/>
    <w:rsid w:val="00DE719E"/>
    <w:rsid w:val="00DE77F5"/>
    <w:rsid w:val="00DE7C46"/>
    <w:rsid w:val="00DF0205"/>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8"/>
    <w:rsid w:val="00E1359E"/>
    <w:rsid w:val="00E13A07"/>
    <w:rsid w:val="00E13CA8"/>
    <w:rsid w:val="00E13CB7"/>
    <w:rsid w:val="00E14115"/>
    <w:rsid w:val="00E142A4"/>
    <w:rsid w:val="00E1433E"/>
    <w:rsid w:val="00E155C9"/>
    <w:rsid w:val="00E1576F"/>
    <w:rsid w:val="00E15A59"/>
    <w:rsid w:val="00E1650E"/>
    <w:rsid w:val="00E1683E"/>
    <w:rsid w:val="00E16853"/>
    <w:rsid w:val="00E16A48"/>
    <w:rsid w:val="00E16D35"/>
    <w:rsid w:val="00E173C0"/>
    <w:rsid w:val="00E176EA"/>
    <w:rsid w:val="00E17BC3"/>
    <w:rsid w:val="00E210BA"/>
    <w:rsid w:val="00E212E9"/>
    <w:rsid w:val="00E21526"/>
    <w:rsid w:val="00E21B33"/>
    <w:rsid w:val="00E24656"/>
    <w:rsid w:val="00E24C4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AFB"/>
    <w:rsid w:val="00E51CE8"/>
    <w:rsid w:val="00E51E73"/>
    <w:rsid w:val="00E51F46"/>
    <w:rsid w:val="00E52365"/>
    <w:rsid w:val="00E524D6"/>
    <w:rsid w:val="00E52EC8"/>
    <w:rsid w:val="00E54D5E"/>
    <w:rsid w:val="00E560E9"/>
    <w:rsid w:val="00E57BAF"/>
    <w:rsid w:val="00E60826"/>
    <w:rsid w:val="00E61961"/>
    <w:rsid w:val="00E62033"/>
    <w:rsid w:val="00E62369"/>
    <w:rsid w:val="00E626CB"/>
    <w:rsid w:val="00E630D7"/>
    <w:rsid w:val="00E63979"/>
    <w:rsid w:val="00E640CC"/>
    <w:rsid w:val="00E65B52"/>
    <w:rsid w:val="00E66098"/>
    <w:rsid w:val="00E66261"/>
    <w:rsid w:val="00E664B1"/>
    <w:rsid w:val="00E6686F"/>
    <w:rsid w:val="00E674C4"/>
    <w:rsid w:val="00E675D3"/>
    <w:rsid w:val="00E67C1A"/>
    <w:rsid w:val="00E70664"/>
    <w:rsid w:val="00E71E56"/>
    <w:rsid w:val="00E723A7"/>
    <w:rsid w:val="00E7338E"/>
    <w:rsid w:val="00E73EAD"/>
    <w:rsid w:val="00E74212"/>
    <w:rsid w:val="00E744E6"/>
    <w:rsid w:val="00E748A8"/>
    <w:rsid w:val="00E74DCB"/>
    <w:rsid w:val="00E7550D"/>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03C"/>
    <w:rsid w:val="00E96745"/>
    <w:rsid w:val="00E9707C"/>
    <w:rsid w:val="00E97137"/>
    <w:rsid w:val="00EA061A"/>
    <w:rsid w:val="00EA073A"/>
    <w:rsid w:val="00EA0FCF"/>
    <w:rsid w:val="00EA1D43"/>
    <w:rsid w:val="00EA1ED4"/>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D4B"/>
    <w:rsid w:val="00EB3F39"/>
    <w:rsid w:val="00EB434D"/>
    <w:rsid w:val="00EB584A"/>
    <w:rsid w:val="00EB5AE2"/>
    <w:rsid w:val="00EB6399"/>
    <w:rsid w:val="00EB6547"/>
    <w:rsid w:val="00EB6AC8"/>
    <w:rsid w:val="00EB728A"/>
    <w:rsid w:val="00EB763C"/>
    <w:rsid w:val="00EB7F1C"/>
    <w:rsid w:val="00EC1BA5"/>
    <w:rsid w:val="00EC1BFD"/>
    <w:rsid w:val="00EC1D78"/>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0B"/>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93E"/>
    <w:rsid w:val="00EF0BCA"/>
    <w:rsid w:val="00EF0E17"/>
    <w:rsid w:val="00EF1470"/>
    <w:rsid w:val="00EF1DDD"/>
    <w:rsid w:val="00EF21C3"/>
    <w:rsid w:val="00EF28FE"/>
    <w:rsid w:val="00EF319A"/>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37D5"/>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59EC"/>
    <w:rsid w:val="00F25C3D"/>
    <w:rsid w:val="00F271E2"/>
    <w:rsid w:val="00F274EE"/>
    <w:rsid w:val="00F275FD"/>
    <w:rsid w:val="00F27706"/>
    <w:rsid w:val="00F27AF8"/>
    <w:rsid w:val="00F27B45"/>
    <w:rsid w:val="00F27DFB"/>
    <w:rsid w:val="00F306D6"/>
    <w:rsid w:val="00F3182D"/>
    <w:rsid w:val="00F320B0"/>
    <w:rsid w:val="00F326B2"/>
    <w:rsid w:val="00F32793"/>
    <w:rsid w:val="00F328AC"/>
    <w:rsid w:val="00F32B07"/>
    <w:rsid w:val="00F3547F"/>
    <w:rsid w:val="00F357EE"/>
    <w:rsid w:val="00F360E9"/>
    <w:rsid w:val="00F41DEF"/>
    <w:rsid w:val="00F429B6"/>
    <w:rsid w:val="00F42DFF"/>
    <w:rsid w:val="00F42FE4"/>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61AA"/>
    <w:rsid w:val="00F570E9"/>
    <w:rsid w:val="00F57D1E"/>
    <w:rsid w:val="00F60014"/>
    <w:rsid w:val="00F60A52"/>
    <w:rsid w:val="00F6171B"/>
    <w:rsid w:val="00F617C4"/>
    <w:rsid w:val="00F61F75"/>
    <w:rsid w:val="00F6202E"/>
    <w:rsid w:val="00F625CD"/>
    <w:rsid w:val="00F6264A"/>
    <w:rsid w:val="00F62C49"/>
    <w:rsid w:val="00F62FA4"/>
    <w:rsid w:val="00F63015"/>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111"/>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339D"/>
    <w:rsid w:val="00F94182"/>
    <w:rsid w:val="00F9443F"/>
    <w:rsid w:val="00F94559"/>
    <w:rsid w:val="00F94CBE"/>
    <w:rsid w:val="00F95061"/>
    <w:rsid w:val="00F95166"/>
    <w:rsid w:val="00F952B4"/>
    <w:rsid w:val="00F95F6B"/>
    <w:rsid w:val="00F9606B"/>
    <w:rsid w:val="00F96550"/>
    <w:rsid w:val="00F9657A"/>
    <w:rsid w:val="00F96E5C"/>
    <w:rsid w:val="00F97BCD"/>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5960"/>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6D2"/>
    <w:rsid w:val="00FC0163"/>
    <w:rsid w:val="00FC0687"/>
    <w:rsid w:val="00FC0E66"/>
    <w:rsid w:val="00FC1C03"/>
    <w:rsid w:val="00FC1EEE"/>
    <w:rsid w:val="00FC201D"/>
    <w:rsid w:val="00FC22E8"/>
    <w:rsid w:val="00FC2560"/>
    <w:rsid w:val="00FC2864"/>
    <w:rsid w:val="00FC2F6F"/>
    <w:rsid w:val="00FC3478"/>
    <w:rsid w:val="00FC365A"/>
    <w:rsid w:val="00FC396F"/>
    <w:rsid w:val="00FC3AEE"/>
    <w:rsid w:val="00FC3FFB"/>
    <w:rsid w:val="00FC4453"/>
    <w:rsid w:val="00FC44B4"/>
    <w:rsid w:val="00FC45AC"/>
    <w:rsid w:val="00FC4B60"/>
    <w:rsid w:val="00FC5DD9"/>
    <w:rsid w:val="00FD0411"/>
    <w:rsid w:val="00FD060A"/>
    <w:rsid w:val="00FD06C1"/>
    <w:rsid w:val="00FD0A05"/>
    <w:rsid w:val="00FD1690"/>
    <w:rsid w:val="00FD175D"/>
    <w:rsid w:val="00FD178E"/>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508"/>
    <w:rsid w:val="00FE5CE0"/>
    <w:rsid w:val="00FE6B28"/>
    <w:rsid w:val="00FE78AD"/>
    <w:rsid w:val="00FE7B8E"/>
    <w:rsid w:val="00FE7C7C"/>
    <w:rsid w:val="00FF076B"/>
    <w:rsid w:val="00FF16F2"/>
    <w:rsid w:val="00FF201A"/>
    <w:rsid w:val="00FF2CDC"/>
    <w:rsid w:val="00FF4207"/>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809373"/>
  <w15:chartTrackingRefBased/>
  <w15:docId w15:val="{04037DE0-74C7-43F5-A6E8-8FB45CC8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52B5"/>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152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52B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6255381">
      <w:bodyDiv w:val="1"/>
      <w:marLeft w:val="0"/>
      <w:marRight w:val="0"/>
      <w:marTop w:val="0"/>
      <w:marBottom w:val="0"/>
      <w:divBdr>
        <w:top w:val="none" w:sz="0" w:space="0" w:color="auto"/>
        <w:left w:val="none" w:sz="0" w:space="0" w:color="auto"/>
        <w:bottom w:val="none" w:sz="0" w:space="0" w:color="auto"/>
        <w:right w:val="none" w:sz="0" w:space="0" w:color="auto"/>
      </w:divBdr>
      <w:divsChild>
        <w:div w:id="1839271377">
          <w:marLeft w:val="547"/>
          <w:marRight w:val="0"/>
          <w:marTop w:val="96"/>
          <w:marBottom w:val="0"/>
          <w:divBdr>
            <w:top w:val="none" w:sz="0" w:space="0" w:color="auto"/>
            <w:left w:val="none" w:sz="0" w:space="0" w:color="auto"/>
            <w:bottom w:val="none" w:sz="0" w:space="0" w:color="auto"/>
            <w:right w:val="none" w:sz="0" w:space="0" w:color="auto"/>
          </w:divBdr>
        </w:div>
        <w:div w:id="165096625">
          <w:marLeft w:val="547"/>
          <w:marRight w:val="0"/>
          <w:marTop w:val="96"/>
          <w:marBottom w:val="0"/>
          <w:divBdr>
            <w:top w:val="none" w:sz="0" w:space="0" w:color="auto"/>
            <w:left w:val="none" w:sz="0" w:space="0" w:color="auto"/>
            <w:bottom w:val="none" w:sz="0" w:space="0" w:color="auto"/>
            <w:right w:val="none" w:sz="0" w:space="0" w:color="auto"/>
          </w:divBdr>
        </w:div>
        <w:div w:id="2039427119">
          <w:marLeft w:val="547"/>
          <w:marRight w:val="0"/>
          <w:marTop w:val="86"/>
          <w:marBottom w:val="0"/>
          <w:divBdr>
            <w:top w:val="none" w:sz="0" w:space="0" w:color="auto"/>
            <w:left w:val="none" w:sz="0" w:space="0" w:color="auto"/>
            <w:bottom w:val="none" w:sz="0" w:space="0" w:color="auto"/>
            <w:right w:val="none" w:sz="0" w:space="0" w:color="auto"/>
          </w:divBdr>
        </w:div>
        <w:div w:id="461582977">
          <w:marLeft w:val="547"/>
          <w:marRight w:val="0"/>
          <w:marTop w:val="96"/>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9833683">
      <w:bodyDiv w:val="1"/>
      <w:marLeft w:val="0"/>
      <w:marRight w:val="0"/>
      <w:marTop w:val="0"/>
      <w:marBottom w:val="0"/>
      <w:divBdr>
        <w:top w:val="none" w:sz="0" w:space="0" w:color="auto"/>
        <w:left w:val="none" w:sz="0" w:space="0" w:color="auto"/>
        <w:bottom w:val="none" w:sz="0" w:space="0" w:color="auto"/>
        <w:right w:val="none" w:sz="0" w:space="0" w:color="auto"/>
      </w:divBdr>
      <w:divsChild>
        <w:div w:id="983969620">
          <w:marLeft w:val="547"/>
          <w:marRight w:val="0"/>
          <w:marTop w:val="106"/>
          <w:marBottom w:val="0"/>
          <w:divBdr>
            <w:top w:val="none" w:sz="0" w:space="0" w:color="auto"/>
            <w:left w:val="none" w:sz="0" w:space="0" w:color="auto"/>
            <w:bottom w:val="none" w:sz="0" w:space="0" w:color="auto"/>
            <w:right w:val="none" w:sz="0" w:space="0" w:color="auto"/>
          </w:divBdr>
        </w:div>
        <w:div w:id="1258244801">
          <w:marLeft w:val="1166"/>
          <w:marRight w:val="0"/>
          <w:marTop w:val="96"/>
          <w:marBottom w:val="0"/>
          <w:divBdr>
            <w:top w:val="none" w:sz="0" w:space="0" w:color="auto"/>
            <w:left w:val="none" w:sz="0" w:space="0" w:color="auto"/>
            <w:bottom w:val="none" w:sz="0" w:space="0" w:color="auto"/>
            <w:right w:val="none" w:sz="0" w:space="0" w:color="auto"/>
          </w:divBdr>
        </w:div>
        <w:div w:id="1989825871">
          <w:marLeft w:val="547"/>
          <w:marRight w:val="0"/>
          <w:marTop w:val="106"/>
          <w:marBottom w:val="0"/>
          <w:divBdr>
            <w:top w:val="none" w:sz="0" w:space="0" w:color="auto"/>
            <w:left w:val="none" w:sz="0" w:space="0" w:color="auto"/>
            <w:bottom w:val="none" w:sz="0" w:space="0" w:color="auto"/>
            <w:right w:val="none" w:sz="0" w:space="0" w:color="auto"/>
          </w:divBdr>
        </w:div>
        <w:div w:id="1512793339">
          <w:marLeft w:val="547"/>
          <w:marRight w:val="0"/>
          <w:marTop w:val="106"/>
          <w:marBottom w:val="0"/>
          <w:divBdr>
            <w:top w:val="none" w:sz="0" w:space="0" w:color="auto"/>
            <w:left w:val="none" w:sz="0" w:space="0" w:color="auto"/>
            <w:bottom w:val="none" w:sz="0" w:space="0" w:color="auto"/>
            <w:right w:val="none" w:sz="0" w:space="0" w:color="auto"/>
          </w:divBdr>
        </w:div>
        <w:div w:id="1220553621">
          <w:marLeft w:val="547"/>
          <w:marRight w:val="0"/>
          <w:marTop w:val="106"/>
          <w:marBottom w:val="0"/>
          <w:divBdr>
            <w:top w:val="none" w:sz="0" w:space="0" w:color="auto"/>
            <w:left w:val="none" w:sz="0" w:space="0" w:color="auto"/>
            <w:bottom w:val="none" w:sz="0" w:space="0" w:color="auto"/>
            <w:right w:val="none" w:sz="0" w:space="0" w:color="auto"/>
          </w:divBdr>
        </w:div>
        <w:div w:id="1199204251">
          <w:marLeft w:val="547"/>
          <w:marRight w:val="0"/>
          <w:marTop w:val="106"/>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 w:id="2143839493">
      <w:bodyDiv w:val="1"/>
      <w:marLeft w:val="0"/>
      <w:marRight w:val="0"/>
      <w:marTop w:val="0"/>
      <w:marBottom w:val="0"/>
      <w:divBdr>
        <w:top w:val="none" w:sz="0" w:space="0" w:color="auto"/>
        <w:left w:val="none" w:sz="0" w:space="0" w:color="auto"/>
        <w:bottom w:val="none" w:sz="0" w:space="0" w:color="auto"/>
        <w:right w:val="none" w:sz="0" w:space="0" w:color="auto"/>
      </w:divBdr>
      <w:divsChild>
        <w:div w:id="1828859177">
          <w:marLeft w:val="547"/>
          <w:marRight w:val="0"/>
          <w:marTop w:val="96"/>
          <w:marBottom w:val="0"/>
          <w:divBdr>
            <w:top w:val="none" w:sz="0" w:space="0" w:color="auto"/>
            <w:left w:val="none" w:sz="0" w:space="0" w:color="auto"/>
            <w:bottom w:val="none" w:sz="0" w:space="0" w:color="auto"/>
            <w:right w:val="none" w:sz="0" w:space="0" w:color="auto"/>
          </w:divBdr>
        </w:div>
        <w:div w:id="1898317657">
          <w:marLeft w:val="547"/>
          <w:marRight w:val="0"/>
          <w:marTop w:val="96"/>
          <w:marBottom w:val="0"/>
          <w:divBdr>
            <w:top w:val="none" w:sz="0" w:space="0" w:color="auto"/>
            <w:left w:val="none" w:sz="0" w:space="0" w:color="auto"/>
            <w:bottom w:val="none" w:sz="0" w:space="0" w:color="auto"/>
            <w:right w:val="none" w:sz="0" w:space="0" w:color="auto"/>
          </w:divBdr>
        </w:div>
        <w:div w:id="249658444">
          <w:marLeft w:val="547"/>
          <w:marRight w:val="0"/>
          <w:marTop w:val="86"/>
          <w:marBottom w:val="0"/>
          <w:divBdr>
            <w:top w:val="none" w:sz="0" w:space="0" w:color="auto"/>
            <w:left w:val="none" w:sz="0" w:space="0" w:color="auto"/>
            <w:bottom w:val="none" w:sz="0" w:space="0" w:color="auto"/>
            <w:right w:val="none" w:sz="0" w:space="0" w:color="auto"/>
          </w:divBdr>
        </w:div>
        <w:div w:id="94870818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4.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5.xml><?xml version="1.0" encoding="utf-8"?>
<ds:datastoreItem xmlns:ds="http://schemas.openxmlformats.org/officeDocument/2006/customXml" ds:itemID="{28BA5645-2B71-468F-876E-F045EFB43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3</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13</cp:revision>
  <dcterms:created xsi:type="dcterms:W3CDTF">2017-06-19T09:46:00Z</dcterms:created>
  <dcterms:modified xsi:type="dcterms:W3CDTF">2017-06-19T18:11:00Z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